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430FE1F3"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#12</w:t>
      </w:r>
      <w:r w:rsidR="00AF1C66">
        <w:rPr>
          <w:rFonts w:ascii="Arial" w:eastAsia="SimSun" w:hAnsi="Arial" w:cs="Arial"/>
          <w:b/>
          <w:bCs/>
          <w:kern w:val="0"/>
          <w:sz w:val="22"/>
          <w:lang w:eastAsia="zh-CN"/>
        </w:rPr>
        <w:t>9</w:t>
      </w:r>
      <w:r w:rsidR="00646CA8">
        <w:rPr>
          <w:rFonts w:ascii="Arial" w:hAnsi="Arial" w:cs="Arial" w:hint="eastAsia"/>
          <w:b/>
          <w:bCs/>
          <w:kern w:val="0"/>
          <w:sz w:val="22"/>
        </w:rPr>
        <w:t>b</w:t>
      </w:r>
      <w:r w:rsidR="00646CA8">
        <w:rPr>
          <w:rFonts w:ascii="Arial" w:hAnsi="Arial" w:cs="Arial"/>
          <w:b/>
          <w:bCs/>
          <w:kern w:val="0"/>
          <w:sz w:val="22"/>
        </w:rPr>
        <w:t>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B079FE">
        <w:rPr>
          <w:rFonts w:ascii="Arial" w:eastAsia="MS Mincho" w:hAnsi="Arial" w:cs="Arial"/>
          <w:b/>
          <w:bCs/>
          <w:kern w:val="0"/>
          <w:sz w:val="22"/>
          <w:lang w:eastAsia="en-US"/>
        </w:rPr>
        <w:t>R2-2502816</w:t>
      </w:r>
    </w:p>
    <w:p w14:paraId="16220EE8" w14:textId="06E49EB7" w:rsidR="006F7258" w:rsidRPr="005321D7" w:rsidRDefault="007A1CAF"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Wuhan</w:t>
      </w:r>
      <w:r w:rsidR="006F7258" w:rsidRPr="005321D7">
        <w:rPr>
          <w:rFonts w:ascii="Arial" w:eastAsia="MS Mincho" w:hAnsi="Arial" w:cs="Arial"/>
          <w:b/>
          <w:kern w:val="0"/>
          <w:sz w:val="22"/>
          <w:lang w:eastAsia="en-US"/>
        </w:rPr>
        <w:t xml:space="preserve">, </w:t>
      </w:r>
      <w:r>
        <w:rPr>
          <w:rFonts w:ascii="Arial" w:eastAsia="MS Mincho" w:hAnsi="Arial" w:cs="Arial"/>
          <w:b/>
          <w:kern w:val="0"/>
          <w:sz w:val="22"/>
          <w:lang w:eastAsia="en-US"/>
        </w:rPr>
        <w:t>China</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7</w:t>
      </w:r>
      <w:r w:rsidR="006F7258" w:rsidRPr="005321D7">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 </w:t>
      </w:r>
      <w:r>
        <w:rPr>
          <w:rFonts w:ascii="Arial" w:eastAsia="SimSun" w:hAnsi="Arial" w:cs="Arial"/>
          <w:b/>
          <w:kern w:val="0"/>
          <w:sz w:val="22"/>
          <w:lang w:eastAsia="zh-CN"/>
        </w:rPr>
        <w:t>1</w:t>
      </w:r>
      <w:r w:rsidR="00861141">
        <w:rPr>
          <w:rFonts w:ascii="Arial" w:eastAsia="SimSun" w:hAnsi="Arial" w:cs="Arial"/>
          <w:b/>
          <w:kern w:val="0"/>
          <w:sz w:val="22"/>
          <w:lang w:eastAsia="zh-CN"/>
        </w:rPr>
        <w:t>1</w:t>
      </w:r>
      <w:r w:rsidR="00E25BD3">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1C58B682" w14:textId="77777777" w:rsidR="001A0052" w:rsidRPr="006F7258" w:rsidRDefault="001A0052" w:rsidP="001A0052">
      <w:pPr>
        <w:pStyle w:val="a3"/>
        <w:tabs>
          <w:tab w:val="left" w:pos="1800"/>
        </w:tabs>
        <w:spacing w:after="120"/>
        <w:ind w:left="1793" w:hangingChars="814" w:hanging="1793"/>
        <w:rPr>
          <w:rFonts w:ascii="Arial" w:eastAsia="SimSun" w:hAnsi="Arial" w:cs="Arial"/>
          <w:b/>
          <w:bCs/>
          <w:sz w:val="22"/>
          <w:szCs w:val="22"/>
          <w:lang w:eastAsia="zh-CN"/>
        </w:rPr>
      </w:pPr>
      <w:r w:rsidRPr="006F7258">
        <w:rPr>
          <w:rFonts w:ascii="Arial" w:hAnsi="Arial" w:cs="Arial"/>
          <w:b/>
          <w:bCs/>
          <w:sz w:val="22"/>
          <w:szCs w:val="22"/>
        </w:rPr>
        <w:t>Agenda Item:</w:t>
      </w:r>
      <w:bookmarkStart w:id="0" w:name="Source"/>
      <w:bookmarkEnd w:id="0"/>
      <w:r w:rsidRPr="006F7258">
        <w:rPr>
          <w:rFonts w:ascii="Arial" w:hAnsi="Arial" w:cs="Arial"/>
          <w:b/>
          <w:bCs/>
          <w:sz w:val="22"/>
          <w:szCs w:val="22"/>
        </w:rPr>
        <w:tab/>
        <w:t>8.1.2.2</w:t>
      </w:r>
    </w:p>
    <w:p w14:paraId="0974F4BA" w14:textId="77777777" w:rsidR="001A0052" w:rsidRPr="006F7258" w:rsidRDefault="001A0052" w:rsidP="001A0052">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p>
    <w:p w14:paraId="3FE50362" w14:textId="1913C00B" w:rsidR="006F7258" w:rsidRPr="006F7258" w:rsidRDefault="006F7258" w:rsidP="006F7258">
      <w:pPr>
        <w:pStyle w:val="a3"/>
        <w:tabs>
          <w:tab w:val="left" w:pos="1800"/>
        </w:tabs>
        <w:spacing w:after="120"/>
        <w:ind w:left="1793" w:hangingChars="814" w:hanging="1793"/>
        <w:rPr>
          <w:rFonts w:ascii="Arial" w:hAnsi="Arial" w:cs="Arial"/>
          <w:b/>
          <w:bCs/>
          <w:sz w:val="22"/>
          <w:szCs w:val="22"/>
        </w:rPr>
      </w:pPr>
      <w:r w:rsidRPr="006F7258">
        <w:rPr>
          <w:rFonts w:ascii="Arial" w:hAnsi="Arial" w:cs="Arial"/>
          <w:b/>
          <w:bCs/>
          <w:sz w:val="22"/>
          <w:szCs w:val="22"/>
        </w:rPr>
        <w:t>Title:</w:t>
      </w:r>
      <w:bookmarkStart w:id="1" w:name="Title"/>
      <w:bookmarkEnd w:id="1"/>
      <w:r w:rsidRPr="006F7258">
        <w:rPr>
          <w:rFonts w:ascii="Arial" w:hAnsi="Arial" w:cs="Arial"/>
          <w:b/>
          <w:bCs/>
          <w:sz w:val="22"/>
          <w:szCs w:val="22"/>
        </w:rPr>
        <w:tab/>
      </w:r>
      <w:r>
        <w:rPr>
          <w:rFonts w:ascii="Arial" w:hAnsi="Arial" w:cs="Arial"/>
          <w:b/>
          <w:bCs/>
          <w:sz w:val="22"/>
          <w:szCs w:val="22"/>
        </w:rPr>
        <w:t xml:space="preserve">Discussion </w:t>
      </w:r>
      <w:r>
        <w:rPr>
          <w:rStyle w:val="normaltextrun"/>
          <w:rFonts w:ascii="Arial" w:hAnsi="Arial" w:cs="Arial"/>
          <w:b/>
          <w:bCs/>
          <w:sz w:val="22"/>
          <w:szCs w:val="22"/>
        </w:rPr>
        <w:t>o</w:t>
      </w:r>
      <w:r w:rsidRPr="006F7258">
        <w:rPr>
          <w:rStyle w:val="normaltextrun"/>
          <w:rFonts w:ascii="Arial" w:hAnsi="Arial" w:cs="Arial"/>
          <w:b/>
          <w:bCs/>
          <w:sz w:val="22"/>
          <w:szCs w:val="22"/>
        </w:rPr>
        <w:t xml:space="preserve">n </w:t>
      </w:r>
      <w:r w:rsidRPr="006F7258">
        <w:rPr>
          <w:rFonts w:ascii="Arial" w:hAnsi="Arial" w:cs="Arial"/>
          <w:b/>
          <w:bCs/>
          <w:sz w:val="22"/>
          <w:szCs w:val="22"/>
        </w:rPr>
        <w:t>LCM for UE-sided models</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2" w:name="DocumentFor"/>
      <w:bookmarkEnd w:id="2"/>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61B2D294" w:rsidR="008E12D7" w:rsidRPr="001C7A9A" w:rsidRDefault="00E526B4" w:rsidP="00116396">
      <w:pPr>
        <w:contextualSpacing/>
        <w:rPr>
          <w:rFonts w:ascii="Arial" w:hAnsi="Arial" w:cs="Arial"/>
          <w:sz w:val="22"/>
          <w:szCs w:val="20"/>
          <w:lang w:val="en-GB"/>
        </w:rPr>
      </w:pPr>
      <w:r w:rsidRPr="00505AFA">
        <w:rPr>
          <w:rFonts w:ascii="Arial" w:hAnsi="Arial" w:cs="Arial"/>
          <w:sz w:val="22"/>
          <w:lang w:val="en-GB"/>
        </w:rPr>
        <w:t xml:space="preserve">The WI </w:t>
      </w:r>
      <w:r w:rsidRPr="00505AFA">
        <w:rPr>
          <w:rFonts w:ascii="Arial" w:hAnsi="Arial" w:cs="Arial"/>
          <w:sz w:val="22"/>
        </w:rPr>
        <w:t xml:space="preserve">NR_AIML_air agreed to </w:t>
      </w:r>
      <w:r w:rsidR="001B763F" w:rsidRPr="00505AFA">
        <w:rPr>
          <w:rFonts w:ascii="Arial" w:hAnsi="Arial" w:cs="Arial"/>
          <w:sz w:val="22"/>
        </w:rPr>
        <w:t>work on the signalling mechanism of applicable functionalities /models.</w:t>
      </w:r>
      <w:r w:rsidRPr="00505AFA">
        <w:rPr>
          <w:rFonts w:ascii="Arial" w:hAnsi="Arial" w:cs="Arial"/>
          <w:sz w:val="22"/>
        </w:rPr>
        <w:t xml:space="preserve"> </w:t>
      </w:r>
      <w:r w:rsidR="00866D53" w:rsidRPr="00505AFA">
        <w:rPr>
          <w:rFonts w:ascii="Arial" w:hAnsi="Arial" w:cs="Arial"/>
          <w:sz w:val="22"/>
        </w:rPr>
        <w:t xml:space="preserve">In the previous meeting, </w:t>
      </w:r>
      <w:r w:rsidR="00F12F7D">
        <w:rPr>
          <w:rFonts w:ascii="Arial" w:hAnsi="Arial" w:cs="Arial"/>
          <w:sz w:val="22"/>
        </w:rPr>
        <w:t xml:space="preserve">RAN2 had lots of discussion on the options A and B provided by RAN1. </w:t>
      </w:r>
      <w:r w:rsidR="00BC2FBE">
        <w:rPr>
          <w:rFonts w:ascii="Arial" w:hAnsi="Arial" w:cs="Arial"/>
          <w:sz w:val="22"/>
        </w:rPr>
        <w:t xml:space="preserve">Generally, RAN2 agreed </w:t>
      </w:r>
      <w:r w:rsidR="008550CD">
        <w:rPr>
          <w:rFonts w:ascii="Arial" w:hAnsi="Arial" w:cs="Arial"/>
          <w:sz w:val="22"/>
        </w:rPr>
        <w:t>option A is based on inference configuration, whereas the design of inference configuration</w:t>
      </w:r>
      <w:r w:rsidR="003B452B">
        <w:rPr>
          <w:rFonts w:ascii="Arial" w:hAnsi="Arial" w:cs="Arial"/>
          <w:sz w:val="22"/>
        </w:rPr>
        <w:t xml:space="preserve"> </w:t>
      </w:r>
      <w:r w:rsidR="007541FE">
        <w:rPr>
          <w:rFonts w:ascii="Arial" w:hAnsi="Arial" w:cs="Arial"/>
          <w:sz w:val="22"/>
        </w:rPr>
        <w:t xml:space="preserve">is still FFS. For option B, </w:t>
      </w:r>
      <w:r w:rsidR="000405C6">
        <w:rPr>
          <w:rFonts w:ascii="Arial" w:hAnsi="Arial" w:cs="Arial"/>
          <w:sz w:val="22"/>
        </w:rPr>
        <w:t xml:space="preserve">RAN2 still has some aspects to clarify. We would like to address </w:t>
      </w:r>
      <w:r w:rsidR="00C92695">
        <w:rPr>
          <w:rFonts w:ascii="Arial" w:hAnsi="Arial" w:cs="Arial"/>
          <w:sz w:val="22"/>
        </w:rPr>
        <w:t>some of the issues in this document.</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4F3654D2" w14:textId="77777777" w:rsidR="001C7A9A" w:rsidRPr="00E526B4" w:rsidRDefault="001C7A9A" w:rsidP="00116396">
            <w:pPr>
              <w:contextualSpacing/>
              <w:rPr>
                <w:rFonts w:ascii="Times New Roman" w:hAnsi="Times New Roman" w:cs="Times New Roman"/>
                <w:bCs/>
                <w:sz w:val="20"/>
                <w:szCs w:val="18"/>
              </w:rPr>
            </w:pPr>
            <w:r w:rsidRPr="00E526B4">
              <w:rPr>
                <w:rFonts w:ascii="Times New Roman" w:hAnsi="Times New Roman" w:cs="Times New Roman"/>
                <w:bCs/>
                <w:sz w:val="20"/>
                <w:szCs w:val="18"/>
              </w:rPr>
              <w:t>Provide specification support for the following aspects:</w:t>
            </w:r>
          </w:p>
          <w:p w14:paraId="7260D2E7" w14:textId="77777777" w:rsidR="001C7A9A" w:rsidRPr="00E526B4" w:rsidRDefault="001C7A9A" w:rsidP="00116396">
            <w:pPr>
              <w:widowControl/>
              <w:numPr>
                <w:ilvl w:val="0"/>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AI/ML general framework for one-sided AI/ML models within the realm of what has been studied in the FS_NR_AIML_Air project [RAN2]:</w:t>
            </w:r>
          </w:p>
          <w:p w14:paraId="0787E73A" w14:textId="77777777" w:rsidR="001C7A9A" w:rsidRPr="003125F3"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3125F3">
              <w:rPr>
                <w:rFonts w:ascii="Times New Roman" w:hAnsi="Times New Roman" w:cs="Times New Roman"/>
                <w:bCs/>
                <w:sz w:val="20"/>
                <w:szCs w:val="18"/>
              </w:rPr>
              <w:t>Signalling and protocol aspects of Life Cycle Management (LCM) enabling functionality and model (if justified) selection, activation, deactivation, switching, fallback</w:t>
            </w:r>
          </w:p>
          <w:p w14:paraId="03BE4090" w14:textId="77777777" w:rsidR="001C7A9A" w:rsidRPr="00E526B4" w:rsidRDefault="001C7A9A" w:rsidP="00116396">
            <w:pPr>
              <w:widowControl/>
              <w:numPr>
                <w:ilvl w:val="2"/>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Identification related signalling is part of the above objective </w:t>
            </w:r>
          </w:p>
          <w:p w14:paraId="34BF9966" w14:textId="77777777" w:rsidR="001C7A9A" w:rsidRPr="00E526B4"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Necessary signalling/mechanism(s) for LCM to facilitate model training, inference, performance monitoring, data collection (except for the purpose of CN/OAM/OTT collection of UE-sided model training data) for both UE-sided and NW-sided models</w:t>
            </w:r>
          </w:p>
          <w:p w14:paraId="7AEFA45A" w14:textId="6EF163E7" w:rsidR="001C7A9A" w:rsidRPr="001C7A9A" w:rsidRDefault="001C7A9A" w:rsidP="00116396">
            <w:pPr>
              <w:widowControl/>
              <w:numPr>
                <w:ilvl w:val="1"/>
                <w:numId w:val="2"/>
              </w:numPr>
              <w:overflowPunct w:val="0"/>
              <w:autoSpaceDE w:val="0"/>
              <w:autoSpaceDN w:val="0"/>
              <w:adjustRightInd w:val="0"/>
              <w:contextualSpacing/>
              <w:textAlignment w:val="baseline"/>
              <w:rPr>
                <w:bCs/>
              </w:rPr>
            </w:pPr>
            <w:r w:rsidRPr="003125F3">
              <w:rPr>
                <w:rFonts w:ascii="Times New Roman" w:hAnsi="Times New Roman" w:cs="Times New Roman"/>
                <w:bCs/>
                <w:sz w:val="20"/>
                <w:szCs w:val="18"/>
                <w:highlight w:val="yellow"/>
              </w:rPr>
              <w:t>Signalling mechanism of applicable functionalities/models</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6AC3273F" w14:textId="6767041B" w:rsidR="00D854DA" w:rsidRDefault="00067AB9" w:rsidP="00CF3EEE">
      <w:pPr>
        <w:contextualSpacing/>
        <w:rPr>
          <w:rFonts w:ascii="Arial" w:hAnsi="Arial" w:cs="Arial"/>
          <w:sz w:val="22"/>
          <w:szCs w:val="20"/>
          <w:lang w:val="en-GB"/>
        </w:rPr>
      </w:pPr>
      <w:r w:rsidRPr="001C7A9A">
        <w:rPr>
          <w:rFonts w:ascii="Arial" w:hAnsi="Arial" w:cs="Arial"/>
          <w:sz w:val="22"/>
          <w:szCs w:val="20"/>
          <w:lang w:val="en-GB"/>
        </w:rPr>
        <w:t xml:space="preserve">In </w:t>
      </w:r>
      <w:r w:rsidR="00EE14CA">
        <w:rPr>
          <w:rFonts w:ascii="Arial" w:hAnsi="Arial" w:cs="Arial"/>
          <w:sz w:val="22"/>
          <w:szCs w:val="20"/>
          <w:lang w:val="en-GB"/>
        </w:rPr>
        <w:t>the LS to RAN2 (</w:t>
      </w:r>
      <w:r w:rsidR="00505AFA">
        <w:rPr>
          <w:rFonts w:ascii="Arial" w:hAnsi="Arial" w:cs="Arial"/>
          <w:sz w:val="22"/>
          <w:szCs w:val="20"/>
          <w:lang w:val="en-GB"/>
        </w:rPr>
        <w:t>R1-24</w:t>
      </w:r>
      <w:r w:rsidR="00D83C2C">
        <w:rPr>
          <w:rFonts w:ascii="Arial" w:hAnsi="Arial" w:cs="Arial" w:hint="eastAsia"/>
          <w:sz w:val="22"/>
          <w:szCs w:val="20"/>
          <w:lang w:val="en-GB"/>
        </w:rPr>
        <w:t>1</w:t>
      </w:r>
      <w:r w:rsidR="00505AFA">
        <w:rPr>
          <w:rFonts w:ascii="Arial" w:hAnsi="Arial" w:cs="Arial"/>
          <w:sz w:val="22"/>
          <w:szCs w:val="20"/>
          <w:lang w:val="en-GB"/>
        </w:rPr>
        <w:t>0898</w:t>
      </w:r>
      <w:r w:rsidR="00EE14CA">
        <w:rPr>
          <w:rFonts w:ascii="Arial" w:hAnsi="Arial" w:cs="Arial"/>
          <w:sz w:val="22"/>
          <w:szCs w:val="20"/>
          <w:lang w:val="en-GB"/>
        </w:rPr>
        <w:t>)</w:t>
      </w:r>
      <w:r w:rsidR="00E02B27">
        <w:rPr>
          <w:rFonts w:ascii="Arial" w:hAnsi="Arial" w:cs="Arial"/>
          <w:sz w:val="22"/>
          <w:szCs w:val="20"/>
          <w:lang w:val="en-GB"/>
        </w:rPr>
        <w:t xml:space="preserve">, RAN1 provided some information regarding </w:t>
      </w:r>
      <w:r w:rsidR="00D02A55">
        <w:rPr>
          <w:rFonts w:ascii="Arial" w:hAnsi="Arial" w:cs="Arial"/>
          <w:sz w:val="22"/>
          <w:szCs w:val="20"/>
          <w:lang w:val="en-GB"/>
        </w:rPr>
        <w:t xml:space="preserve">the terminologies, </w:t>
      </w:r>
      <w:r w:rsidR="00E02B27">
        <w:rPr>
          <w:rFonts w:ascii="Arial" w:hAnsi="Arial" w:cs="Arial"/>
          <w:sz w:val="22"/>
          <w:szCs w:val="20"/>
          <w:lang w:val="en-GB"/>
        </w:rPr>
        <w:t xml:space="preserve">what </w:t>
      </w:r>
      <w:r w:rsidR="00EE2E4E">
        <w:rPr>
          <w:rFonts w:ascii="Arial" w:hAnsi="Arial" w:cs="Arial"/>
          <w:sz w:val="22"/>
          <w:szCs w:val="20"/>
          <w:lang w:val="en-GB"/>
        </w:rPr>
        <w:t>may be</w:t>
      </w:r>
      <w:r w:rsidR="00E02B27">
        <w:rPr>
          <w:rFonts w:ascii="Arial" w:hAnsi="Arial" w:cs="Arial"/>
          <w:sz w:val="22"/>
          <w:szCs w:val="20"/>
          <w:lang w:val="en-GB"/>
        </w:rPr>
        <w:t xml:space="preserve"> the content provided </w:t>
      </w:r>
      <w:r w:rsidR="00EE2E4E">
        <w:rPr>
          <w:rFonts w:ascii="Arial" w:hAnsi="Arial" w:cs="Arial"/>
          <w:sz w:val="22"/>
          <w:szCs w:val="20"/>
          <w:lang w:val="en-GB"/>
        </w:rPr>
        <w:t>in each step of the applicability reporting procedure</w:t>
      </w:r>
      <w:r w:rsidR="008C1D31">
        <w:rPr>
          <w:rFonts w:ascii="Arial" w:hAnsi="Arial" w:cs="Arial"/>
          <w:sz w:val="22"/>
          <w:szCs w:val="20"/>
          <w:lang w:val="en-GB"/>
        </w:rPr>
        <w:t>, and provided 2 potential directions</w:t>
      </w:r>
      <w:r w:rsidR="001539B2">
        <w:rPr>
          <w:rFonts w:ascii="Arial" w:hAnsi="Arial" w:cs="Arial"/>
          <w:sz w:val="22"/>
          <w:szCs w:val="20"/>
          <w:lang w:val="en-GB"/>
        </w:rPr>
        <w:t xml:space="preserve"> A and B</w:t>
      </w:r>
      <w:r w:rsidR="008C1D31">
        <w:rPr>
          <w:rFonts w:ascii="Arial" w:hAnsi="Arial" w:cs="Arial"/>
          <w:sz w:val="22"/>
          <w:szCs w:val="20"/>
          <w:lang w:val="en-GB"/>
        </w:rPr>
        <w:t>.</w:t>
      </w:r>
    </w:p>
    <w:p w14:paraId="3A9C8B19" w14:textId="77777777" w:rsidR="00F86A85" w:rsidRDefault="00F86A85" w:rsidP="00CF3EEE">
      <w:pPr>
        <w:contextualSpacing/>
        <w:rPr>
          <w:rFonts w:ascii="Arial" w:hAnsi="Arial" w:cs="Arial"/>
          <w:sz w:val="22"/>
          <w:szCs w:val="20"/>
          <w:lang w:val="en-GB"/>
        </w:rPr>
      </w:pPr>
    </w:p>
    <w:p w14:paraId="7F0F7190" w14:textId="1F2C597C" w:rsidR="00F86A85" w:rsidRDefault="00F86A85" w:rsidP="00CF3EEE">
      <w:pPr>
        <w:contextualSpacing/>
        <w:rPr>
          <w:rFonts w:ascii="Arial" w:hAnsi="Arial" w:cs="Arial"/>
          <w:sz w:val="22"/>
          <w:szCs w:val="20"/>
          <w:lang w:val="en-GB"/>
        </w:rPr>
      </w:pPr>
      <w:r>
        <w:rPr>
          <w:rFonts w:ascii="Arial" w:hAnsi="Arial" w:cs="Arial" w:hint="eastAsia"/>
          <w:sz w:val="22"/>
          <w:szCs w:val="20"/>
          <w:lang w:val="en-GB"/>
        </w:rPr>
        <w:t>F</w:t>
      </w:r>
      <w:r>
        <w:rPr>
          <w:rFonts w:ascii="Arial" w:hAnsi="Arial" w:cs="Arial"/>
          <w:sz w:val="22"/>
          <w:szCs w:val="20"/>
          <w:lang w:val="en-GB"/>
        </w:rPr>
        <w:t xml:space="preserve">rom RAN1 </w:t>
      </w:r>
      <w:r w:rsidR="008F6D1A">
        <w:rPr>
          <w:rFonts w:ascii="Arial" w:hAnsi="Arial" w:cs="Arial"/>
          <w:sz w:val="22"/>
          <w:szCs w:val="20"/>
          <w:lang w:val="en-GB"/>
        </w:rPr>
        <w:t>LS</w:t>
      </w:r>
      <w:r w:rsidR="00730BAC">
        <w:rPr>
          <w:rFonts w:ascii="Arial" w:hAnsi="Arial" w:cs="Arial"/>
          <w:sz w:val="22"/>
          <w:szCs w:val="20"/>
          <w:lang w:val="en-GB"/>
        </w:rPr>
        <w:t xml:space="preserve"> response</w:t>
      </w:r>
      <w:r>
        <w:rPr>
          <w:rFonts w:ascii="Arial" w:hAnsi="Arial" w:cs="Arial"/>
          <w:sz w:val="22"/>
          <w:szCs w:val="20"/>
          <w:lang w:val="en-GB"/>
        </w:rPr>
        <w:t>:</w:t>
      </w:r>
    </w:p>
    <w:p w14:paraId="3C59D24C" w14:textId="77777777" w:rsidR="00F86A85" w:rsidRPr="00F86A85" w:rsidRDefault="00F86A85" w:rsidP="007F132B">
      <w:pPr>
        <w:widowControl/>
        <w:numPr>
          <w:ilvl w:val="0"/>
          <w:numId w:val="5"/>
        </w:numPr>
        <w:spacing w:before="156" w:after="156"/>
        <w:ind w:left="714" w:hanging="357"/>
        <w:contextualSpacing/>
        <w:rPr>
          <w:rFonts w:ascii="Arial" w:eastAsia="Malgun Gothic" w:hAnsi="Arial" w:cs="Arial"/>
          <w:color w:val="FF0000"/>
          <w:kern w:val="0"/>
          <w:sz w:val="18"/>
          <w:szCs w:val="18"/>
          <w:lang w:eastAsia="zh-CN"/>
        </w:rPr>
      </w:pPr>
      <w:r w:rsidRPr="00F86A85">
        <w:rPr>
          <w:rFonts w:ascii="Arial" w:eastAsia="Malgun Gothic" w:hAnsi="Arial" w:cs="Arial"/>
          <w:kern w:val="0"/>
          <w:sz w:val="18"/>
          <w:szCs w:val="18"/>
          <w:lang w:eastAsia="zh-CN"/>
        </w:rPr>
        <w:t>The</w:t>
      </w:r>
      <w:r w:rsidRPr="00F86A85">
        <w:rPr>
          <w:rFonts w:ascii="Arial" w:eastAsia="Malgun Gothic" w:hAnsi="Arial" w:cs="Arial" w:hint="eastAsia"/>
          <w:kern w:val="0"/>
          <w:sz w:val="18"/>
          <w:szCs w:val="18"/>
          <w:lang w:eastAsia="zh-CN"/>
        </w:rPr>
        <w:t xml:space="preserve"> concept/terminology</w:t>
      </w:r>
      <w:r w:rsidRPr="00F86A85">
        <w:rPr>
          <w:rFonts w:ascii="Arial" w:eastAsia="Malgun Gothic" w:hAnsi="Arial" w:cs="Arial"/>
          <w:kern w:val="0"/>
          <w:sz w:val="18"/>
          <w:szCs w:val="18"/>
          <w:lang w:eastAsia="zh-CN"/>
        </w:rPr>
        <w:t xml:space="preserve"> “functionality</w:t>
      </w:r>
      <w:r w:rsidRPr="00F86A85">
        <w:rPr>
          <w:rFonts w:ascii="Arial" w:eastAsia="DengXian" w:hAnsi="Arial" w:cs="Arial"/>
          <w:kern w:val="0"/>
          <w:sz w:val="18"/>
          <w:szCs w:val="18"/>
          <w:lang w:val="en-GB" w:eastAsia="zh-CN"/>
        </w:rPr>
        <w:t xml:space="preserve">” </w:t>
      </w:r>
      <w:r w:rsidRPr="00F86A85">
        <w:rPr>
          <w:rFonts w:ascii="Arial" w:eastAsia="Malgun Gothic" w:hAnsi="Arial" w:cs="Arial"/>
          <w:kern w:val="0"/>
          <w:sz w:val="18"/>
          <w:szCs w:val="18"/>
          <w:lang w:eastAsia="zh-CN"/>
        </w:rPr>
        <w:t xml:space="preserve">of </w:t>
      </w:r>
      <w:r w:rsidRPr="00F86A85">
        <w:rPr>
          <w:rFonts w:ascii="Arial" w:eastAsia="Malgun Gothic" w:hAnsi="Arial" w:cs="Arial"/>
          <w:b/>
          <w:bCs/>
          <w:kern w:val="0"/>
          <w:sz w:val="18"/>
          <w:szCs w:val="18"/>
          <w:lang w:eastAsia="zh-CN"/>
        </w:rPr>
        <w:t>Supported functionalities</w:t>
      </w:r>
      <w:r w:rsidRPr="00F86A85">
        <w:rPr>
          <w:rFonts w:ascii="Arial" w:eastAsia="Malgun Gothic" w:hAnsi="Arial" w:cs="Arial"/>
          <w:kern w:val="0"/>
          <w:sz w:val="18"/>
          <w:szCs w:val="18"/>
          <w:lang w:eastAsia="zh-CN"/>
        </w:rPr>
        <w:t xml:space="preserve"> may refer to UE-capability information/parameters i.e., Rel-19 AI/ML-enabled Features/FGs</w:t>
      </w:r>
      <w:r w:rsidRPr="00F86A85">
        <w:rPr>
          <w:rFonts w:ascii="Arial" w:eastAsia="DengXian" w:hAnsi="Arial" w:cs="Arial"/>
          <w:color w:val="FF0000"/>
          <w:kern w:val="0"/>
          <w:sz w:val="18"/>
          <w:szCs w:val="18"/>
          <w:lang w:val="en-GB" w:eastAsia="zh-CN"/>
        </w:rPr>
        <w:t xml:space="preserve"> </w:t>
      </w:r>
    </w:p>
    <w:p w14:paraId="5CE59010" w14:textId="77777777" w:rsidR="00F86A85" w:rsidRPr="00F86A85" w:rsidRDefault="00F86A85" w:rsidP="007F132B">
      <w:pPr>
        <w:widowControl/>
        <w:numPr>
          <w:ilvl w:val="0"/>
          <w:numId w:val="5"/>
        </w:numPr>
        <w:spacing w:before="156" w:after="156"/>
        <w:ind w:left="714" w:hanging="357"/>
        <w:contextualSpacing/>
        <w:rPr>
          <w:rFonts w:ascii="Arial" w:eastAsia="Malgun Gothic" w:hAnsi="Arial" w:cs="Arial"/>
          <w:kern w:val="0"/>
          <w:sz w:val="18"/>
          <w:szCs w:val="18"/>
          <w:lang w:eastAsia="zh-CN"/>
        </w:rPr>
      </w:pPr>
      <w:r w:rsidRPr="00F86A85">
        <w:rPr>
          <w:rFonts w:ascii="Arial" w:eastAsia="Malgun Gothic" w:hAnsi="Arial" w:cs="Arial"/>
          <w:kern w:val="0"/>
          <w:sz w:val="18"/>
          <w:szCs w:val="18"/>
          <w:lang w:eastAsia="zh-CN"/>
        </w:rPr>
        <w:t xml:space="preserve">The </w:t>
      </w:r>
      <w:r w:rsidRPr="00F86A85">
        <w:rPr>
          <w:rFonts w:ascii="Arial" w:eastAsia="Malgun Gothic" w:hAnsi="Arial" w:cs="Arial" w:hint="eastAsia"/>
          <w:kern w:val="0"/>
          <w:sz w:val="18"/>
          <w:szCs w:val="18"/>
          <w:lang w:eastAsia="zh-CN"/>
        </w:rPr>
        <w:t>concept/terminology</w:t>
      </w:r>
      <w:r w:rsidRPr="00F86A85">
        <w:rPr>
          <w:rFonts w:ascii="Arial" w:eastAsia="Malgun Gothic" w:hAnsi="Arial" w:cs="Arial"/>
          <w:kern w:val="0"/>
          <w:sz w:val="18"/>
          <w:szCs w:val="18"/>
          <w:lang w:eastAsia="zh-CN"/>
        </w:rPr>
        <w:t xml:space="preserve"> “functionality</w:t>
      </w:r>
      <w:r w:rsidRPr="00F86A85">
        <w:rPr>
          <w:rFonts w:ascii="Arial" w:eastAsia="DengXian" w:hAnsi="Arial" w:cs="Arial"/>
          <w:kern w:val="0"/>
          <w:sz w:val="18"/>
          <w:szCs w:val="18"/>
          <w:lang w:val="en-GB" w:eastAsia="zh-CN"/>
        </w:rPr>
        <w:t xml:space="preserve">” </w:t>
      </w:r>
      <w:r w:rsidRPr="00F86A85">
        <w:rPr>
          <w:rFonts w:ascii="Arial" w:eastAsia="Malgun Gothic" w:hAnsi="Arial" w:cs="Arial"/>
          <w:kern w:val="0"/>
          <w:sz w:val="18"/>
          <w:szCs w:val="18"/>
          <w:lang w:eastAsia="zh-CN"/>
        </w:rPr>
        <w:t xml:space="preserve">of </w:t>
      </w:r>
      <w:r w:rsidRPr="00F86A85">
        <w:rPr>
          <w:rFonts w:ascii="Arial" w:eastAsia="Malgun Gothic" w:hAnsi="Arial" w:cs="Arial"/>
          <w:b/>
          <w:bCs/>
          <w:kern w:val="0"/>
          <w:sz w:val="18"/>
          <w:szCs w:val="18"/>
          <w:lang w:eastAsia="zh-CN"/>
        </w:rPr>
        <w:t>Applicable functionalities</w:t>
      </w:r>
      <w:r w:rsidRPr="00F86A85">
        <w:rPr>
          <w:rFonts w:ascii="Arial" w:eastAsia="Malgun Gothic" w:hAnsi="Arial" w:cs="Arial"/>
          <w:kern w:val="0"/>
          <w:sz w:val="18"/>
          <w:szCs w:val="18"/>
          <w:lang w:eastAsia="zh-CN"/>
        </w:rPr>
        <w:t xml:space="preserve"> may refer to </w:t>
      </w:r>
      <w:r w:rsidRPr="00F86A85">
        <w:rPr>
          <w:rFonts w:ascii="Arial" w:eastAsia="Malgun Gothic" w:hAnsi="Arial" w:cs="Arial"/>
          <w:i/>
          <w:iCs/>
          <w:kern w:val="0"/>
          <w:sz w:val="18"/>
          <w:szCs w:val="18"/>
          <w:lang w:eastAsia="zh-CN"/>
        </w:rPr>
        <w:t>CSI-ReportConfig</w:t>
      </w:r>
      <w:r w:rsidRPr="00F86A85">
        <w:rPr>
          <w:rFonts w:ascii="Arial" w:eastAsia="Malgun Gothic" w:hAnsi="Arial" w:cs="Arial"/>
          <w:kern w:val="0"/>
          <w:sz w:val="18"/>
          <w:szCs w:val="18"/>
          <w:lang w:eastAsia="zh-CN"/>
        </w:rPr>
        <w:t xml:space="preserve"> for inference configuration or a set of inference related parameters </w:t>
      </w:r>
    </w:p>
    <w:p w14:paraId="6DD4A993" w14:textId="77777777" w:rsidR="00F86A85" w:rsidRDefault="00F86A85" w:rsidP="007F132B">
      <w:pPr>
        <w:widowControl/>
        <w:numPr>
          <w:ilvl w:val="0"/>
          <w:numId w:val="5"/>
        </w:numPr>
        <w:tabs>
          <w:tab w:val="left" w:pos="360"/>
          <w:tab w:val="left" w:pos="709"/>
        </w:tabs>
        <w:spacing w:before="156" w:after="156"/>
        <w:ind w:left="714" w:hanging="357"/>
        <w:contextualSpacing/>
        <w:rPr>
          <w:rFonts w:ascii="Arial" w:eastAsia="Malgun Gothic" w:hAnsi="Arial" w:cs="Arial"/>
          <w:kern w:val="0"/>
          <w:sz w:val="18"/>
          <w:szCs w:val="18"/>
          <w:lang w:eastAsia="zh-CN"/>
        </w:rPr>
      </w:pPr>
      <w:r w:rsidRPr="00F86A85">
        <w:rPr>
          <w:rFonts w:ascii="Arial" w:eastAsia="Malgun Gothic" w:hAnsi="Arial" w:cs="Arial"/>
          <w:kern w:val="0"/>
          <w:sz w:val="18"/>
          <w:szCs w:val="18"/>
          <w:lang w:eastAsia="zh-CN"/>
        </w:rPr>
        <w:t xml:space="preserve">The </w:t>
      </w:r>
      <w:r w:rsidRPr="00F86A85">
        <w:rPr>
          <w:rFonts w:ascii="Arial" w:eastAsia="Malgun Gothic" w:hAnsi="Arial" w:cs="Arial"/>
          <w:b/>
          <w:bCs/>
          <w:kern w:val="0"/>
          <w:sz w:val="18"/>
          <w:szCs w:val="18"/>
          <w:lang w:eastAsia="zh-CN"/>
        </w:rPr>
        <w:t>Activated functionalities</w:t>
      </w:r>
      <w:r w:rsidRPr="00F86A85">
        <w:rPr>
          <w:rFonts w:ascii="Arial" w:eastAsia="Malgun Gothic" w:hAnsi="Arial" w:cs="Arial" w:hint="eastAsia"/>
          <w:kern w:val="0"/>
          <w:sz w:val="18"/>
          <w:szCs w:val="18"/>
          <w:lang w:eastAsia="zh-CN"/>
        </w:rPr>
        <w:t xml:space="preserve"> </w:t>
      </w:r>
      <w:r w:rsidRPr="00F86A85">
        <w:rPr>
          <w:rFonts w:ascii="Arial" w:eastAsia="Malgun Gothic" w:hAnsi="Arial" w:cs="Arial"/>
          <w:kern w:val="0"/>
          <w:sz w:val="18"/>
          <w:szCs w:val="18"/>
          <w:lang w:eastAsia="zh-CN"/>
        </w:rPr>
        <w:t xml:space="preserve">may </w:t>
      </w:r>
      <w:r w:rsidRPr="00F86A85">
        <w:rPr>
          <w:rFonts w:ascii="Arial" w:eastAsia="Malgun Gothic" w:hAnsi="Arial" w:cs="Arial" w:hint="eastAsia"/>
          <w:kern w:val="0"/>
          <w:sz w:val="18"/>
          <w:szCs w:val="18"/>
          <w:lang w:eastAsia="zh-CN"/>
        </w:rPr>
        <w:t>be enabled based on CSI framework.</w:t>
      </w:r>
    </w:p>
    <w:p w14:paraId="7139059B" w14:textId="77777777" w:rsidR="00DB01D5" w:rsidRPr="00F86A85" w:rsidRDefault="00DB01D5" w:rsidP="00DB01D5">
      <w:pPr>
        <w:widowControl/>
        <w:tabs>
          <w:tab w:val="left" w:pos="360"/>
          <w:tab w:val="left" w:pos="709"/>
        </w:tabs>
        <w:spacing w:before="156" w:after="156"/>
        <w:contextualSpacing/>
        <w:rPr>
          <w:rFonts w:ascii="Arial" w:eastAsia="Malgun Gothic" w:hAnsi="Arial" w:cs="Arial"/>
          <w:kern w:val="0"/>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1F2EF7" w:rsidRPr="002F5B54" w14:paraId="3FCAD826" w14:textId="77777777" w:rsidTr="008004B0">
        <w:tc>
          <w:tcPr>
            <w:tcW w:w="9736" w:type="dxa"/>
            <w:shd w:val="clear" w:color="auto" w:fill="auto"/>
          </w:tcPr>
          <w:p w14:paraId="38EE4473" w14:textId="77777777" w:rsidR="001D6282" w:rsidRPr="001D6282" w:rsidRDefault="001D6282" w:rsidP="001D6282">
            <w:pPr>
              <w:widowControl/>
              <w:snapToGrid w:val="0"/>
              <w:contextualSpacing/>
              <w:rPr>
                <w:rFonts w:ascii="Times New Roman" w:eastAsia="DengXian" w:hAnsi="Times New Roman" w:cs="Times New Roman"/>
                <w:kern w:val="0"/>
                <w:sz w:val="20"/>
                <w:szCs w:val="20"/>
                <w:highlight w:val="green"/>
                <w:lang w:eastAsia="zh-CN"/>
              </w:rPr>
            </w:pPr>
            <w:r w:rsidRPr="001D6282">
              <w:rPr>
                <w:rFonts w:ascii="Times New Roman" w:eastAsia="DengXian" w:hAnsi="Times New Roman" w:cs="Times New Roman" w:hint="eastAsia"/>
                <w:kern w:val="0"/>
                <w:sz w:val="20"/>
                <w:szCs w:val="20"/>
                <w:highlight w:val="green"/>
                <w:lang w:eastAsia="zh-CN"/>
              </w:rPr>
              <w:lastRenderedPageBreak/>
              <w:t>Agreement</w:t>
            </w:r>
          </w:p>
          <w:p w14:paraId="27C4CD24" w14:textId="77777777" w:rsidR="001D6282" w:rsidRPr="001D6282" w:rsidRDefault="001D6282" w:rsidP="001D6282">
            <w:pPr>
              <w:widowControl/>
              <w:numPr>
                <w:ilvl w:val="0"/>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In Step 3, following configurations are provided from NW to UE:</w:t>
            </w:r>
          </w:p>
          <w:p w14:paraId="43FE9DFE"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UE is allowed to do UAI reporting via </w:t>
            </w:r>
            <w:r w:rsidRPr="001D6282">
              <w:rPr>
                <w:rFonts w:ascii="Times New Roman" w:eastAsia="Times New Roman" w:hAnsi="Times New Roman" w:cs="Times"/>
                <w:i/>
                <w:iCs/>
                <w:kern w:val="0"/>
                <w:sz w:val="20"/>
                <w:szCs w:val="20"/>
                <w:lang w:eastAsia="zh-CN"/>
              </w:rPr>
              <w:t>OtherConfig,</w:t>
            </w:r>
          </w:p>
          <w:p w14:paraId="19FFF0CB"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The applicability report is based on A) and/or B) </w:t>
            </w:r>
          </w:p>
          <w:p w14:paraId="0AC55538"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It is up to RAN 2 to design the container </w:t>
            </w:r>
          </w:p>
          <w:p w14:paraId="4F630508"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A) one or more of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xml:space="preserve"> for inference configuration</w:t>
            </w:r>
            <w:r w:rsidRPr="001D6282">
              <w:rPr>
                <w:rFonts w:ascii="Times New Roman" w:eastAsia="Times New Roman" w:hAnsi="Times New Roman" w:cs="Times"/>
                <w:i/>
                <w:iCs/>
                <w:kern w:val="0"/>
                <w:sz w:val="20"/>
                <w:szCs w:val="20"/>
                <w:lang w:eastAsia="zh-CN"/>
              </w:rPr>
              <w:t> </w:t>
            </w:r>
            <w:r w:rsidRPr="001D6282">
              <w:rPr>
                <w:rFonts w:ascii="Times New Roman" w:eastAsia="Times New Roman" w:hAnsi="Times New Roman" w:cs="Times"/>
                <w:kern w:val="0"/>
                <w:sz w:val="20"/>
                <w:szCs w:val="20"/>
                <w:lang w:eastAsia="zh-CN"/>
              </w:rPr>
              <w:t>(wherein the associated ID may be configured in CSI framework as working assumption applied)</w:t>
            </w:r>
            <w:r w:rsidRPr="001D6282">
              <w:rPr>
                <w:rFonts w:ascii="Times New Roman" w:eastAsia="Times New Roman" w:hAnsi="Times New Roman" w:cs="Times"/>
                <w:i/>
                <w:iCs/>
                <w:kern w:val="0"/>
                <w:sz w:val="20"/>
                <w:szCs w:val="20"/>
                <w:lang w:eastAsia="zh-CN"/>
              </w:rPr>
              <w:t xml:space="preserve"> </w:t>
            </w:r>
          </w:p>
          <w:p w14:paraId="24C4ECE2" w14:textId="77777777" w:rsidR="001D6282" w:rsidRPr="001D6282" w:rsidRDefault="001D6282" w:rsidP="001D6282">
            <w:pPr>
              <w:widowControl/>
              <w:numPr>
                <w:ilvl w:val="3"/>
                <w:numId w:val="3"/>
              </w:numPr>
              <w:adjustRightInd w:val="0"/>
              <w:snapToGrid w:val="0"/>
              <w:spacing w:after="180"/>
              <w:contextualSpacing/>
              <w:rPr>
                <w:rFonts w:ascii="Times New Roman" w:eastAsia="DengXian" w:hAnsi="Times New Roman" w:cs="Times"/>
                <w:kern w:val="0"/>
                <w:sz w:val="20"/>
                <w:szCs w:val="20"/>
                <w:lang w:eastAsia="de-DE"/>
              </w:rPr>
            </w:pPr>
            <w:r w:rsidRPr="001D6282">
              <w:rPr>
                <w:rFonts w:ascii="Times New Roman" w:eastAsia="Malgun Gothic" w:hAnsi="Times New Roman" w:cs="Times"/>
                <w:kern w:val="0"/>
                <w:sz w:val="20"/>
                <w:szCs w:val="20"/>
                <w:lang w:eastAsia="ko-KR"/>
              </w:rPr>
              <w:t xml:space="preserve">Note: </w:t>
            </w:r>
            <w:r w:rsidRPr="001D6282">
              <w:rPr>
                <w:rFonts w:ascii="Times New Roman" w:eastAsia="Malgun Gothic" w:hAnsi="Times New Roman" w:cs="Times"/>
                <w:kern w:val="0"/>
                <w:sz w:val="20"/>
                <w:szCs w:val="20"/>
                <w:lang w:eastAsia="de-DE"/>
              </w:rPr>
              <w:t xml:space="preserve">CSI report </w:t>
            </w:r>
            <w:r w:rsidRPr="001D6282">
              <w:rPr>
                <w:rFonts w:ascii="Times New Roman" w:eastAsia="Malgun Gothic" w:hAnsi="Times New Roman" w:cs="Times"/>
                <w:kern w:val="0"/>
                <w:sz w:val="20"/>
                <w:szCs w:val="20"/>
                <w:lang w:eastAsia="ko-KR"/>
              </w:rPr>
              <w:t xml:space="preserve">configuration </w:t>
            </w:r>
            <w:r w:rsidRPr="001D6282">
              <w:rPr>
                <w:rFonts w:ascii="Times New Roman" w:eastAsia="Malgun Gothic" w:hAnsi="Times New Roman" w:cs="Times"/>
                <w:kern w:val="0"/>
                <w:sz w:val="20"/>
                <w:szCs w:val="20"/>
                <w:lang w:eastAsia="de-DE"/>
              </w:rPr>
              <w:t>for UE-side model inference can</w:t>
            </w:r>
            <w:r w:rsidRPr="001D6282">
              <w:rPr>
                <w:rFonts w:ascii="Times New Roman" w:eastAsia="Malgun Gothic" w:hAnsi="Times New Roman" w:cs="Times"/>
                <w:kern w:val="0"/>
                <w:sz w:val="20"/>
                <w:szCs w:val="20"/>
                <w:lang w:eastAsia="ko-KR"/>
              </w:rPr>
              <w:t>’t</w:t>
            </w:r>
            <w:r w:rsidRPr="001D6282">
              <w:rPr>
                <w:rFonts w:ascii="Times New Roman" w:eastAsia="Malgun Gothic" w:hAnsi="Times New Roman" w:cs="Times"/>
                <w:kern w:val="0"/>
                <w:sz w:val="20"/>
                <w:szCs w:val="20"/>
                <w:lang w:eastAsia="de-DE"/>
              </w:rPr>
              <w:t xml:space="preserve"> be activated immediately upon receiving Step 3</w:t>
            </w:r>
          </w:p>
          <w:p w14:paraId="31C05FF0"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B) One set or multiple sets of inference related parameters for applicability report only (not for inference)</w:t>
            </w:r>
          </w:p>
          <w:p w14:paraId="3C2D38C1" w14:textId="77777777" w:rsidR="001D6282" w:rsidRPr="001D6282" w:rsidRDefault="001D6282" w:rsidP="001D6282">
            <w:pPr>
              <w:widowControl/>
              <w:numPr>
                <w:ilvl w:val="3"/>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ko-KR"/>
              </w:rPr>
              <w:t>It is up to RAN2 to design the container.</w:t>
            </w:r>
          </w:p>
          <w:p w14:paraId="2DE7114A" w14:textId="77777777" w:rsidR="001D6282" w:rsidRPr="001D6282" w:rsidRDefault="001D6282" w:rsidP="001D6282">
            <w:pPr>
              <w:widowControl/>
              <w:numPr>
                <w:ilvl w:val="3"/>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ko-KR"/>
              </w:rPr>
              <w:t xml:space="preserve">The set of inference related parameters selected from the IEs in/or the IEs referred by </w:t>
            </w:r>
            <w:r w:rsidRPr="001D6282">
              <w:rPr>
                <w:rFonts w:ascii="Times New Roman" w:eastAsia="Times New Roman" w:hAnsi="Times New Roman" w:cs="Times"/>
                <w:i/>
                <w:iCs/>
                <w:kern w:val="0"/>
                <w:sz w:val="20"/>
                <w:szCs w:val="20"/>
                <w:lang w:eastAsia="ko-KR"/>
              </w:rPr>
              <w:t>CSI-ReportConfig</w:t>
            </w:r>
            <w:r w:rsidRPr="001D6282">
              <w:rPr>
                <w:rFonts w:ascii="Times New Roman" w:eastAsia="Times New Roman" w:hAnsi="Times New Roman" w:cs="Times"/>
                <w:kern w:val="0"/>
                <w:sz w:val="20"/>
                <w:szCs w:val="20"/>
                <w:lang w:eastAsia="ko-KR"/>
              </w:rPr>
              <w:t xml:space="preserve"> as a starting point, e.g., </w:t>
            </w:r>
          </w:p>
          <w:p w14:paraId="148F212C"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the associated ID</w:t>
            </w:r>
          </w:p>
          <w:p w14:paraId="51F84DEE" w14:textId="77777777" w:rsidR="001D6282" w:rsidRPr="001D6282" w:rsidRDefault="001D6282" w:rsidP="001D6282">
            <w:pPr>
              <w:widowControl/>
              <w:numPr>
                <w:ilvl w:val="5"/>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Note: this doesn’t imply the associated ID is mandatory </w:t>
            </w:r>
          </w:p>
          <w:p w14:paraId="3DD27F19"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Set A related information</w:t>
            </w:r>
          </w:p>
          <w:p w14:paraId="4F62C18A"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Set B related information</w:t>
            </w:r>
          </w:p>
          <w:p w14:paraId="1AA7B4B6"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Report content related information </w:t>
            </w:r>
          </w:p>
          <w:p w14:paraId="2ECC5AF9"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For BM-Case 2, </w:t>
            </w:r>
          </w:p>
          <w:p w14:paraId="70CAC66A" w14:textId="77777777" w:rsidR="001D6282" w:rsidRPr="001D6282" w:rsidRDefault="001D6282" w:rsidP="001D6282">
            <w:pPr>
              <w:widowControl/>
              <w:numPr>
                <w:ilvl w:val="5"/>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Time instances related information for measurements</w:t>
            </w:r>
          </w:p>
          <w:p w14:paraId="2E2AC70C" w14:textId="77777777" w:rsidR="001D6282" w:rsidRPr="001D6282" w:rsidRDefault="001D6282" w:rsidP="001D6282">
            <w:pPr>
              <w:widowControl/>
              <w:numPr>
                <w:ilvl w:val="5"/>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Time instances related information for prediction</w:t>
            </w:r>
          </w:p>
          <w:p w14:paraId="3A22D89F" w14:textId="77777777" w:rsidR="001D6282" w:rsidRPr="001D6282" w:rsidRDefault="001D6282" w:rsidP="001D6282">
            <w:pPr>
              <w:widowControl/>
              <w:numPr>
                <w:ilvl w:val="0"/>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In Step 4, UE reports applicability for all the above A) one or more </w:t>
            </w:r>
            <w:r w:rsidRPr="001D6282">
              <w:rPr>
                <w:rFonts w:ascii="Times New Roman" w:eastAsia="Times New Roman" w:hAnsi="Times New Roman" w:cs="Times"/>
                <w:i/>
                <w:iCs/>
                <w:kern w:val="0"/>
                <w:sz w:val="20"/>
                <w:szCs w:val="20"/>
                <w:lang w:eastAsia="zh-CN"/>
              </w:rPr>
              <w:t>CSI-ReportConfig </w:t>
            </w:r>
            <w:r w:rsidRPr="001D6282">
              <w:rPr>
                <w:rFonts w:ascii="Times New Roman" w:eastAsia="Times New Roman" w:hAnsi="Times New Roman" w:cs="Times"/>
                <w:kern w:val="0"/>
                <w:sz w:val="20"/>
                <w:szCs w:val="20"/>
                <w:lang w:eastAsia="zh-CN"/>
              </w:rPr>
              <w:t>and/or B) set(s) of inference related parameters </w:t>
            </w:r>
          </w:p>
          <w:p w14:paraId="65DD2D9E"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FFS on whether/what other information along with the applicability is needed</w:t>
            </w:r>
          </w:p>
          <w:p w14:paraId="712BE8C7"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If</w:t>
            </w:r>
            <w:r w:rsidRPr="001D6282">
              <w:rPr>
                <w:rFonts w:ascii="Times New Roman" w:eastAsia="Times New Roman" w:hAnsi="Times New Roman" w:cs="Times New Roman"/>
                <w:kern w:val="0"/>
                <w:sz w:val="20"/>
                <w:szCs w:val="20"/>
                <w:lang w:eastAsia="zh-CN"/>
              </w:rPr>
              <w:t> A)</w:t>
            </w:r>
            <w:r w:rsidRPr="001D6282">
              <w:rPr>
                <w:rFonts w:ascii="Times New Roman" w:eastAsia="Times New Roman" w:hAnsi="Times New Roman" w:cs="Times New Roman"/>
                <w:i/>
                <w:iCs/>
                <w:kern w:val="0"/>
                <w:sz w:val="20"/>
                <w:szCs w:val="20"/>
                <w:lang w:eastAsia="zh-CN"/>
              </w:rPr>
              <w:t> </w:t>
            </w:r>
            <w:r w:rsidRPr="001D6282">
              <w:rPr>
                <w:rFonts w:ascii="Times New Roman" w:eastAsia="Times New Roman" w:hAnsi="Times New Roman" w:cs="Times"/>
                <w:kern w:val="0"/>
                <w:sz w:val="20"/>
                <w:szCs w:val="20"/>
                <w:lang w:eastAsia="zh-CN"/>
              </w:rPr>
              <w:t xml:space="preserve">is configured in Step 3, </w:t>
            </w:r>
          </w:p>
          <w:p w14:paraId="3C8E0717"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Applicable aperiodic CSI Report and semi-persistent CSI report can be activated/triggered by NW after the applicability reported.  </w:t>
            </w:r>
          </w:p>
          <w:p w14:paraId="2FB2CD4E"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Applicable periodic CSI Report is considered as activated only if the applicability of the corresponding </w:t>
            </w:r>
            <w:r w:rsidRPr="001D6282">
              <w:rPr>
                <w:rFonts w:ascii="Times New Roman" w:eastAsia="Times New Roman" w:hAnsi="Times New Roman" w:cs="Times"/>
                <w:i/>
                <w:iCs/>
                <w:kern w:val="0"/>
                <w:sz w:val="20"/>
                <w:szCs w:val="20"/>
                <w:lang w:eastAsia="zh-CN"/>
              </w:rPr>
              <w:t>CSI-ReportConfig </w:t>
            </w:r>
            <w:r w:rsidRPr="001D6282">
              <w:rPr>
                <w:rFonts w:ascii="Times New Roman" w:eastAsia="Times New Roman" w:hAnsi="Times New Roman" w:cs="Times"/>
                <w:kern w:val="0"/>
                <w:sz w:val="20"/>
                <w:szCs w:val="20"/>
                <w:lang w:eastAsia="zh-CN"/>
              </w:rPr>
              <w:t>is reported in </w:t>
            </w:r>
            <w:r w:rsidRPr="001D6282">
              <w:rPr>
                <w:rFonts w:ascii="Times New Roman" w:eastAsia="Times New Roman" w:hAnsi="Times New Roman" w:cs="Times"/>
                <w:i/>
                <w:iCs/>
                <w:kern w:val="0"/>
                <w:sz w:val="20"/>
                <w:szCs w:val="20"/>
                <w:lang w:eastAsia="zh-CN"/>
              </w:rPr>
              <w:t>RRCReconfigurationComplete.</w:t>
            </w:r>
          </w:p>
          <w:p w14:paraId="797AFBE7" w14:textId="77777777" w:rsidR="001D6282" w:rsidRPr="001D6282" w:rsidRDefault="001D6282" w:rsidP="001D6282">
            <w:pPr>
              <w:widowControl/>
              <w:numPr>
                <w:ilvl w:val="0"/>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In Step 5, NW can optionally configure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for inference configuration in </w:t>
            </w:r>
            <w:r w:rsidRPr="001D6282">
              <w:rPr>
                <w:rFonts w:ascii="Times New Roman" w:eastAsia="Times New Roman" w:hAnsi="Times New Roman" w:cs="Times"/>
                <w:i/>
                <w:iCs/>
                <w:kern w:val="0"/>
                <w:sz w:val="20"/>
                <w:szCs w:val="20"/>
                <w:lang w:eastAsia="zh-CN"/>
              </w:rPr>
              <w:t>RRCReconfiguration</w:t>
            </w:r>
            <w:r w:rsidRPr="001D6282">
              <w:rPr>
                <w:rFonts w:ascii="Times New Roman" w:eastAsia="Times New Roman" w:hAnsi="Times New Roman" w:cs="Times"/>
                <w:kern w:val="0"/>
                <w:sz w:val="20"/>
                <w:szCs w:val="20"/>
                <w:lang w:eastAsia="zh-CN"/>
              </w:rPr>
              <w:t>, where the associated ID may be configured in CSI framework as working assumption applied.</w:t>
            </w:r>
          </w:p>
          <w:p w14:paraId="7E1ED390"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Note: Step 5 may be optional if UE has already been configured with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xml:space="preserve"> in Step 3</w:t>
            </w:r>
          </w:p>
          <w:p w14:paraId="7FA724E2" w14:textId="77777777" w:rsidR="001D6282" w:rsidRPr="001D6282" w:rsidRDefault="001D6282" w:rsidP="001D6282">
            <w:pPr>
              <w:widowControl/>
              <w:adjustRightInd w:val="0"/>
              <w:snapToGrid w:val="0"/>
              <w:spacing w:after="180"/>
              <w:contextualSpacing/>
              <w:rPr>
                <w:rFonts w:ascii="Times New Roman" w:eastAsia="Times New Roman" w:hAnsi="Times New Roman" w:cs="Times"/>
                <w:kern w:val="0"/>
                <w:sz w:val="20"/>
                <w:szCs w:val="20"/>
                <w:lang w:eastAsia="zh-CN"/>
              </w:rPr>
            </w:pPr>
          </w:p>
          <w:p w14:paraId="4A3EEFC2" w14:textId="77777777" w:rsidR="001D6282" w:rsidRPr="001D6282" w:rsidRDefault="001D6282" w:rsidP="001D6282">
            <w:pPr>
              <w:widowControl/>
              <w:snapToGrid w:val="0"/>
              <w:contextualSpacing/>
              <w:rPr>
                <w:rFonts w:ascii="Times New Roman" w:eastAsia="DengXian" w:hAnsi="Times New Roman" w:cs="Times New Roman"/>
                <w:kern w:val="0"/>
                <w:sz w:val="20"/>
                <w:szCs w:val="20"/>
                <w:highlight w:val="green"/>
                <w:lang w:eastAsia="zh-CN"/>
              </w:rPr>
            </w:pPr>
            <w:r w:rsidRPr="001D6282">
              <w:rPr>
                <w:rFonts w:ascii="Times New Roman" w:eastAsia="DengXian" w:hAnsi="Times New Roman" w:cs="Times New Roman" w:hint="eastAsia"/>
                <w:kern w:val="0"/>
                <w:sz w:val="20"/>
                <w:szCs w:val="20"/>
                <w:highlight w:val="green"/>
                <w:lang w:eastAsia="zh-CN"/>
              </w:rPr>
              <w:t>Agreement</w:t>
            </w:r>
          </w:p>
          <w:p w14:paraId="6B80B07A" w14:textId="77777777" w:rsidR="001D6282" w:rsidRPr="001D6282" w:rsidRDefault="001D6282" w:rsidP="001D6282">
            <w:pPr>
              <w:widowControl/>
              <w:snapToGrid w:val="0"/>
              <w:spacing w:after="180"/>
              <w:contextualSpacing/>
              <w:rPr>
                <w:rFonts w:ascii="Times New Roman" w:eastAsia="DengXian" w:hAnsi="Times New Roman" w:cs="Times New Roman"/>
                <w:kern w:val="0"/>
                <w:sz w:val="20"/>
                <w:szCs w:val="20"/>
                <w:lang w:eastAsia="zh-CN"/>
              </w:rPr>
            </w:pPr>
            <w:r w:rsidRPr="001D6282">
              <w:rPr>
                <w:rFonts w:ascii="Times New Roman" w:eastAsia="DengXian" w:hAnsi="Times New Roman" w:cs="Times New Roman" w:hint="eastAsia"/>
                <w:kern w:val="0"/>
                <w:sz w:val="20"/>
                <w:szCs w:val="20"/>
                <w:lang w:eastAsia="zh-CN"/>
              </w:rPr>
              <w:t>For beam management, m</w:t>
            </w:r>
            <w:r w:rsidRPr="001D6282">
              <w:rPr>
                <w:rFonts w:ascii="Times New Roman" w:eastAsia="Malgun Gothic" w:hAnsi="Times New Roman" w:cs="Times New Roman"/>
                <w:kern w:val="0"/>
                <w:sz w:val="20"/>
                <w:szCs w:val="20"/>
                <w:lang w:eastAsia="ko-KR"/>
              </w:rPr>
              <w:t>ultiple CSI reports for inference for UE-side model can be configured/activated</w:t>
            </w:r>
            <w:r w:rsidRPr="001D6282">
              <w:rPr>
                <w:rFonts w:ascii="Times New Roman" w:eastAsia="DengXian" w:hAnsi="Times New Roman" w:cs="Times New Roman" w:hint="eastAsia"/>
                <w:kern w:val="0"/>
                <w:sz w:val="20"/>
                <w:szCs w:val="20"/>
                <w:lang w:eastAsia="zh-CN"/>
              </w:rPr>
              <w:t>/</w:t>
            </w:r>
            <w:r w:rsidRPr="001D6282">
              <w:rPr>
                <w:rFonts w:ascii="Times New Roman" w:eastAsia="DengXian" w:hAnsi="Times New Roman" w:cs="Times New Roman"/>
                <w:kern w:val="0"/>
                <w:sz w:val="20"/>
                <w:szCs w:val="20"/>
                <w:lang w:eastAsia="zh-CN"/>
              </w:rPr>
              <w:t>triggered</w:t>
            </w:r>
            <w:r w:rsidRPr="001D6282">
              <w:rPr>
                <w:rFonts w:ascii="Times New Roman" w:eastAsia="Malgun Gothic" w:hAnsi="Times New Roman" w:cs="Times New Roman"/>
                <w:kern w:val="0"/>
                <w:sz w:val="20"/>
                <w:szCs w:val="20"/>
                <w:lang w:eastAsia="ko-KR"/>
              </w:rPr>
              <w:t>, which is up to UE capability</w:t>
            </w:r>
            <w:r w:rsidRPr="001D6282">
              <w:rPr>
                <w:rFonts w:ascii="Times New Roman" w:eastAsia="DengXian" w:hAnsi="Times New Roman" w:cs="Times New Roman" w:hint="eastAsia"/>
                <w:kern w:val="0"/>
                <w:sz w:val="20"/>
                <w:szCs w:val="20"/>
                <w:lang w:eastAsia="zh-CN"/>
              </w:rPr>
              <w:t>.</w:t>
            </w:r>
          </w:p>
          <w:p w14:paraId="42FF31B4" w14:textId="77777777" w:rsidR="001D6282" w:rsidRPr="001D6282" w:rsidRDefault="001D6282" w:rsidP="001D6282">
            <w:pPr>
              <w:widowControl/>
              <w:adjustRightInd w:val="0"/>
              <w:snapToGrid w:val="0"/>
              <w:contextualSpacing/>
              <w:rPr>
                <w:rFonts w:ascii="Times New Roman" w:eastAsia="DengXian" w:hAnsi="Times New Roman" w:cs="Times New Roman"/>
                <w:kern w:val="0"/>
                <w:sz w:val="20"/>
                <w:szCs w:val="20"/>
                <w:lang w:eastAsia="zh-CN"/>
              </w:rPr>
            </w:pPr>
          </w:p>
          <w:p w14:paraId="5322AA1F" w14:textId="77777777" w:rsidR="001D6282" w:rsidRPr="001D6282" w:rsidRDefault="001D6282" w:rsidP="001D6282">
            <w:pPr>
              <w:widowControl/>
              <w:snapToGrid w:val="0"/>
              <w:contextualSpacing/>
              <w:rPr>
                <w:rFonts w:ascii="Times New Roman" w:eastAsia="DengXian" w:hAnsi="Times New Roman" w:cs="Times New Roman"/>
                <w:kern w:val="0"/>
                <w:sz w:val="20"/>
                <w:szCs w:val="20"/>
                <w:lang w:eastAsia="zh-CN"/>
              </w:rPr>
            </w:pPr>
            <w:r w:rsidRPr="001D6282">
              <w:rPr>
                <w:rFonts w:ascii="Times New Roman" w:eastAsia="DengXian" w:hAnsi="Times New Roman" w:cs="Times New Roman"/>
                <w:kern w:val="0"/>
                <w:sz w:val="20"/>
                <w:szCs w:val="20"/>
                <w:lang w:eastAsia="zh-CN"/>
              </w:rPr>
              <w:t>Conclusion</w:t>
            </w:r>
          </w:p>
          <w:p w14:paraId="73E53808" w14:textId="77777777" w:rsidR="001D6282" w:rsidRPr="001D6282" w:rsidRDefault="001D6282" w:rsidP="001D6282">
            <w:pPr>
              <w:widowControl/>
              <w:snapToGrid w:val="0"/>
              <w:contextualSpacing/>
              <w:rPr>
                <w:rFonts w:ascii="Times New Roman" w:eastAsia="Malgun Gothic" w:hAnsi="Times New Roman" w:cs="Arial"/>
                <w:kern w:val="0"/>
                <w:sz w:val="20"/>
                <w:szCs w:val="20"/>
                <w:lang w:eastAsia="ko-KR"/>
              </w:rPr>
            </w:pPr>
            <w:r w:rsidRPr="001D6282">
              <w:rPr>
                <w:rFonts w:ascii="Times New Roman" w:eastAsia="Malgun Gothic" w:hAnsi="Times New Roman" w:cs="Arial"/>
                <w:kern w:val="0"/>
                <w:sz w:val="20"/>
                <w:szCs w:val="20"/>
                <w:lang w:eastAsia="ko-KR"/>
              </w:rPr>
              <w:t xml:space="preserve">For the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xml:space="preserve"> for inference configuration provided in </w:t>
            </w:r>
            <w:r w:rsidRPr="001D6282">
              <w:rPr>
                <w:rFonts w:ascii="Times New Roman" w:eastAsia="Malgun Gothic" w:hAnsi="Times New Roman" w:cs="Arial"/>
                <w:kern w:val="0"/>
                <w:sz w:val="20"/>
                <w:szCs w:val="20"/>
                <w:lang w:eastAsia="ko-KR"/>
              </w:rPr>
              <w:t>Step 5,</w:t>
            </w:r>
          </w:p>
          <w:p w14:paraId="3BA383C4" w14:textId="77777777" w:rsidR="001D6282" w:rsidRPr="001D6282" w:rsidRDefault="001D6282" w:rsidP="001D6282">
            <w:pPr>
              <w:widowControl/>
              <w:numPr>
                <w:ilvl w:val="0"/>
                <w:numId w:val="4"/>
              </w:numPr>
              <w:snapToGrid w:val="0"/>
              <w:spacing w:after="180"/>
              <w:contextualSpacing/>
              <w:rPr>
                <w:rFonts w:ascii="Times New Roman" w:eastAsia="Times New Roman" w:hAnsi="Times New Roman" w:cs="Times"/>
                <w:kern w:val="0"/>
                <w:sz w:val="20"/>
                <w:szCs w:val="20"/>
                <w:lang w:val="en-GB" w:eastAsia="zh-CN"/>
              </w:rPr>
            </w:pPr>
            <w:r w:rsidRPr="001D6282">
              <w:rPr>
                <w:rFonts w:ascii="Times New Roman" w:eastAsia="Times New Roman" w:hAnsi="Times New Roman" w:cs="Times"/>
                <w:kern w:val="0"/>
                <w:sz w:val="20"/>
                <w:szCs w:val="20"/>
                <w:lang w:val="en-GB" w:eastAsia="zh-CN"/>
              </w:rPr>
              <w:t xml:space="preserve">aperiodic CSI Report and semi-persistent CSI report can be activated/triggered by NW after </w:t>
            </w:r>
            <w:r w:rsidRPr="001D6282">
              <w:rPr>
                <w:rFonts w:ascii="Times New Roman" w:eastAsia="Times New Roman" w:hAnsi="Times New Roman" w:cs="Times"/>
                <w:i/>
                <w:iCs/>
                <w:kern w:val="0"/>
                <w:sz w:val="20"/>
                <w:szCs w:val="20"/>
                <w:lang w:val="en-GB" w:eastAsia="zh-CN"/>
              </w:rPr>
              <w:t>RRCReconfigurationComplete</w:t>
            </w:r>
            <w:r w:rsidRPr="001D6282">
              <w:rPr>
                <w:rFonts w:ascii="Times New Roman" w:eastAsia="Times New Roman" w:hAnsi="Times New Roman" w:cs="Times"/>
                <w:kern w:val="0"/>
                <w:sz w:val="20"/>
                <w:szCs w:val="20"/>
                <w:lang w:val="en-GB" w:eastAsia="zh-CN"/>
              </w:rPr>
              <w:t>.</w:t>
            </w:r>
          </w:p>
          <w:p w14:paraId="0B02CF99" w14:textId="77777777" w:rsidR="001D6282" w:rsidRPr="001D6282" w:rsidRDefault="001D6282" w:rsidP="001D6282">
            <w:pPr>
              <w:widowControl/>
              <w:numPr>
                <w:ilvl w:val="0"/>
                <w:numId w:val="4"/>
              </w:numPr>
              <w:snapToGrid w:val="0"/>
              <w:spacing w:after="180"/>
              <w:contextualSpacing/>
              <w:rPr>
                <w:rFonts w:ascii="Times New Roman" w:eastAsia="Times New Roman" w:hAnsi="Times New Roman" w:cs="Times"/>
                <w:kern w:val="0"/>
                <w:sz w:val="20"/>
                <w:szCs w:val="20"/>
                <w:lang w:val="en-GB" w:eastAsia="zh-CN"/>
              </w:rPr>
            </w:pPr>
            <w:r w:rsidRPr="001D6282">
              <w:rPr>
                <w:rFonts w:ascii="Times New Roman" w:eastAsia="Times New Roman" w:hAnsi="Times New Roman" w:cs="Times"/>
                <w:kern w:val="0"/>
                <w:sz w:val="20"/>
                <w:szCs w:val="20"/>
                <w:lang w:val="en-GB" w:eastAsia="zh-CN"/>
              </w:rPr>
              <w:t xml:space="preserve">periodic CSI Report is considered as activated after </w:t>
            </w:r>
            <w:r w:rsidRPr="001D6282">
              <w:rPr>
                <w:rFonts w:ascii="Times New Roman" w:eastAsia="Times New Roman" w:hAnsi="Times New Roman" w:cs="Times"/>
                <w:i/>
                <w:iCs/>
                <w:kern w:val="0"/>
                <w:sz w:val="20"/>
                <w:szCs w:val="20"/>
                <w:lang w:val="en-GB" w:eastAsia="zh-CN"/>
              </w:rPr>
              <w:t>RRCReconfigurationComplete</w:t>
            </w:r>
            <w:r w:rsidRPr="001D6282">
              <w:rPr>
                <w:rFonts w:ascii="Times New Roman" w:eastAsia="Times New Roman" w:hAnsi="Times New Roman" w:cs="Times"/>
                <w:kern w:val="0"/>
                <w:sz w:val="20"/>
                <w:szCs w:val="20"/>
                <w:lang w:val="en-GB" w:eastAsia="zh-CN"/>
              </w:rPr>
              <w:t>.</w:t>
            </w:r>
            <w:r w:rsidRPr="001D6282">
              <w:rPr>
                <w:rFonts w:ascii="DengXian" w:eastAsia="Times New Roman" w:hAnsi="DengXian" w:cs="Times"/>
                <w:i/>
                <w:iCs/>
                <w:kern w:val="0"/>
                <w:sz w:val="20"/>
                <w:szCs w:val="20"/>
                <w:lang w:val="en-GB" w:eastAsia="zh-CN"/>
              </w:rPr>
              <w:t xml:space="preserve"> </w:t>
            </w:r>
          </w:p>
          <w:p w14:paraId="05E2C873" w14:textId="77777777" w:rsidR="001D6282" w:rsidRPr="001D6282" w:rsidRDefault="001D6282" w:rsidP="001D6282">
            <w:pPr>
              <w:widowControl/>
              <w:numPr>
                <w:ilvl w:val="0"/>
                <w:numId w:val="4"/>
              </w:numPr>
              <w:snapToGrid w:val="0"/>
              <w:spacing w:after="180"/>
              <w:contextualSpacing/>
              <w:rPr>
                <w:rFonts w:ascii="Times New Roman" w:eastAsia="Times New Roman" w:hAnsi="Times New Roman" w:cs="Times"/>
                <w:kern w:val="0"/>
                <w:sz w:val="20"/>
                <w:szCs w:val="20"/>
                <w:lang w:val="en-GB" w:eastAsia="zh-CN"/>
              </w:rPr>
            </w:pPr>
            <w:r w:rsidRPr="001D6282">
              <w:rPr>
                <w:rFonts w:ascii="Times New Roman" w:eastAsia="Times New Roman" w:hAnsi="Times New Roman" w:cs="Times"/>
                <w:kern w:val="0"/>
                <w:sz w:val="20"/>
                <w:szCs w:val="20"/>
                <w:lang w:val="en-GB" w:eastAsia="zh-CN"/>
              </w:rPr>
              <w:t xml:space="preserve">Note: UE is not expected to be configured with a </w:t>
            </w:r>
            <w:r w:rsidRPr="001D6282">
              <w:rPr>
                <w:rFonts w:ascii="Times New Roman" w:eastAsia="Times New Roman" w:hAnsi="Times New Roman" w:cs="Times"/>
                <w:i/>
                <w:iCs/>
                <w:kern w:val="0"/>
                <w:sz w:val="20"/>
                <w:szCs w:val="20"/>
                <w:lang w:val="en-GB" w:eastAsia="zh-CN"/>
              </w:rPr>
              <w:t>CSI-ReportConfig</w:t>
            </w:r>
            <w:r w:rsidRPr="001D6282">
              <w:rPr>
                <w:rFonts w:ascii="Times New Roman" w:eastAsia="Times New Roman" w:hAnsi="Times New Roman" w:cs="Times"/>
                <w:kern w:val="0"/>
                <w:sz w:val="20"/>
                <w:szCs w:val="20"/>
                <w:lang w:val="en-GB" w:eastAsia="zh-CN"/>
              </w:rPr>
              <w:t xml:space="preserve"> for inference configuration for a non-applicable set of inference parameters or a non-applicable </w:t>
            </w:r>
            <w:r w:rsidRPr="001D6282">
              <w:rPr>
                <w:rFonts w:ascii="Times New Roman" w:eastAsia="Times New Roman" w:hAnsi="Times New Roman" w:cs="Times"/>
                <w:i/>
                <w:iCs/>
                <w:kern w:val="0"/>
                <w:sz w:val="20"/>
                <w:szCs w:val="20"/>
                <w:lang w:val="en-GB" w:eastAsia="zh-CN"/>
              </w:rPr>
              <w:t>CSI-ReportConfig</w:t>
            </w:r>
            <w:r w:rsidRPr="001D6282">
              <w:rPr>
                <w:rFonts w:ascii="Times New Roman" w:eastAsia="Times New Roman" w:hAnsi="Times New Roman" w:cs="Times"/>
                <w:kern w:val="0"/>
                <w:sz w:val="20"/>
                <w:szCs w:val="20"/>
                <w:lang w:val="en-GB" w:eastAsia="zh-CN"/>
              </w:rPr>
              <w:t> </w:t>
            </w:r>
            <w:r w:rsidRPr="001D6282">
              <w:rPr>
                <w:rFonts w:ascii="Times New Roman" w:eastAsia="Times New Roman" w:hAnsi="Times New Roman" w:cs="Times" w:hint="eastAsia"/>
                <w:kern w:val="0"/>
                <w:sz w:val="20"/>
                <w:szCs w:val="20"/>
                <w:lang w:val="en-GB" w:eastAsia="zh-CN"/>
              </w:rPr>
              <w:t xml:space="preserve"> </w:t>
            </w:r>
          </w:p>
          <w:p w14:paraId="06C146EE" w14:textId="6830892A" w:rsidR="001F2EF7" w:rsidRPr="001D6282" w:rsidRDefault="001D6282" w:rsidP="001D6282">
            <w:pPr>
              <w:widowControl/>
              <w:snapToGrid w:val="0"/>
              <w:contextualSpacing/>
              <w:rPr>
                <w:rFonts w:ascii="Times New Roman" w:eastAsia="DengXian" w:hAnsi="Times New Roman" w:cs="Times"/>
                <w:szCs w:val="20"/>
                <w:lang w:eastAsia="zh-CN"/>
              </w:rPr>
            </w:pPr>
            <w:r w:rsidRPr="001D6282">
              <w:rPr>
                <w:rFonts w:ascii="Times New Roman" w:eastAsia="Times New Roman" w:hAnsi="Times New Roman" w:cs="Times" w:hint="eastAsia"/>
                <w:kern w:val="0"/>
                <w:sz w:val="20"/>
                <w:szCs w:val="20"/>
                <w:lang w:eastAsia="zh-CN"/>
              </w:rPr>
              <w:t>Any specification impact is a separate discussion</w:t>
            </w:r>
          </w:p>
        </w:tc>
      </w:tr>
    </w:tbl>
    <w:p w14:paraId="6A827840" w14:textId="2A4863FF" w:rsidR="001F2EF7" w:rsidRPr="001F2EF7" w:rsidRDefault="001F2EF7" w:rsidP="00CF3EEE">
      <w:pPr>
        <w:contextualSpacing/>
        <w:rPr>
          <w:rFonts w:ascii="Arial" w:hAnsi="Arial" w:cs="Arial"/>
          <w:sz w:val="22"/>
          <w:szCs w:val="20"/>
        </w:rPr>
      </w:pPr>
    </w:p>
    <w:tbl>
      <w:tblPr>
        <w:tblStyle w:val="a5"/>
        <w:tblW w:w="0" w:type="auto"/>
        <w:tblLook w:val="04A0" w:firstRow="1" w:lastRow="0" w:firstColumn="1" w:lastColumn="0" w:noHBand="0" w:noVBand="1"/>
      </w:tblPr>
      <w:tblGrid>
        <w:gridCol w:w="9736"/>
      </w:tblGrid>
      <w:tr w:rsidR="00CE02F1" w:rsidRPr="009334AA" w14:paraId="33C02349" w14:textId="77777777" w:rsidTr="003223A2">
        <w:tc>
          <w:tcPr>
            <w:tcW w:w="9736" w:type="dxa"/>
          </w:tcPr>
          <w:p w14:paraId="2EF2EADC" w14:textId="77777777" w:rsidR="00CE02F1" w:rsidRPr="007B25D9" w:rsidRDefault="00CE02F1" w:rsidP="003223A2">
            <w:pPr>
              <w:rPr>
                <w:b/>
                <w:bCs/>
              </w:rPr>
            </w:pPr>
            <w:r w:rsidRPr="007B25D9">
              <w:rPr>
                <w:b/>
                <w:bCs/>
              </w:rPr>
              <w:t>Agreements</w:t>
            </w:r>
            <w:r>
              <w:rPr>
                <w:b/>
                <w:bCs/>
              </w:rPr>
              <w:t xml:space="preserve"> (RAN2 #129)</w:t>
            </w:r>
          </w:p>
          <w:p w14:paraId="3828C8AC" w14:textId="77777777" w:rsidR="00CE02F1" w:rsidRPr="007B25D9" w:rsidRDefault="00CE02F1" w:rsidP="003223A2">
            <w:r w:rsidRPr="007B25D9">
              <w:t>1.</w:t>
            </w:r>
            <w:r w:rsidRPr="007B25D9">
              <w:tab/>
              <w:t xml:space="preserve">Inference configuration/parameters can be signalled in step 3 and/or Inference configuration can be signalled in step 5 (i.e. option a and option b from RAN1).   </w:t>
            </w:r>
          </w:p>
          <w:p w14:paraId="0FA744A8" w14:textId="77777777" w:rsidR="00CE02F1" w:rsidRPr="007B25D9" w:rsidRDefault="00CE02F1" w:rsidP="003223A2">
            <w:r w:rsidRPr="007B25D9">
              <w:t>2.</w:t>
            </w:r>
            <w:r w:rsidRPr="007B25D9">
              <w:tab/>
              <w:t xml:space="preserve">The full inference configuration is sent in CSI-ReportConfig. </w:t>
            </w:r>
          </w:p>
          <w:p w14:paraId="1F01902A" w14:textId="77777777" w:rsidR="00CE02F1" w:rsidRPr="007B25D9" w:rsidRDefault="00CE02F1" w:rsidP="003223A2">
            <w:r w:rsidRPr="007B25D9">
              <w:t>3.</w:t>
            </w:r>
            <w:r w:rsidRPr="007B25D9">
              <w:tab/>
              <w:t>Upon receiving a full inference configuration, the UE sends the initial applicability report in RRCReconfigurationComplete. UAI can be sent to update applicability.</w:t>
            </w:r>
          </w:p>
          <w:p w14:paraId="1A045867" w14:textId="77777777" w:rsidR="00CE02F1" w:rsidRPr="009334AA" w:rsidRDefault="00CE02F1" w:rsidP="003223A2">
            <w:r w:rsidRPr="007B25D9">
              <w:t>4.</w:t>
            </w:r>
            <w:r w:rsidRPr="007B25D9">
              <w:tab/>
              <w:t>FFS signaling details for option B (e.g. whether it is signaling in CSI-Report Config or otherconfig)</w:t>
            </w:r>
          </w:p>
        </w:tc>
      </w:tr>
      <w:tr w:rsidR="00CE02F1" w:rsidRPr="007B25D9" w14:paraId="7EB8A3E4" w14:textId="77777777" w:rsidTr="003223A2">
        <w:tc>
          <w:tcPr>
            <w:tcW w:w="9736" w:type="dxa"/>
          </w:tcPr>
          <w:p w14:paraId="6D168660" w14:textId="77777777" w:rsidR="00CE02F1" w:rsidRDefault="00CE02F1" w:rsidP="003223A2">
            <w:r w:rsidRPr="00D2379F">
              <w:rPr>
                <w:b/>
                <w:bCs/>
              </w:rPr>
              <w:t xml:space="preserve">Agreements applicability reporting and management </w:t>
            </w:r>
            <w:r>
              <w:rPr>
                <w:b/>
                <w:bCs/>
              </w:rPr>
              <w:t>(RAN2 #129)</w:t>
            </w:r>
          </w:p>
          <w:p w14:paraId="142E0F6F" w14:textId="77777777" w:rsidR="00CE02F1" w:rsidRDefault="00CE02F1" w:rsidP="003223A2">
            <w:r>
              <w:rPr>
                <w:rFonts w:hint="eastAsia"/>
              </w:rPr>
              <w:t></w:t>
            </w:r>
            <w:r>
              <w:rPr>
                <w:rFonts w:hint="eastAsia"/>
              </w:rPr>
              <w:tab/>
              <w:t xml:space="preserve">Support the explicit reporting of applicability/inapplicability in initial report and subsequent reporting it reports only applicability it changed.   FFS if we report explicit cause </w:t>
            </w:r>
          </w:p>
          <w:p w14:paraId="4612C0DC" w14:textId="77777777" w:rsidR="00CE02F1" w:rsidRDefault="00CE02F1" w:rsidP="003223A2">
            <w:r>
              <w:rPr>
                <w:rFonts w:hint="eastAsia"/>
              </w:rPr>
              <w:t></w:t>
            </w:r>
            <w:r>
              <w:rPr>
                <w:rFonts w:hint="eastAsia"/>
              </w:rPr>
              <w:tab/>
              <w:t xml:space="preserve">If option A is configured in Step 3, for periodic CSI reporting, the UE autonomously activate the applicable functionalities upon reporting applicable functionalities via RRCReconfigurationComplete in step 4 (i.e. without need to wait RRCReconfiguration </w:t>
            </w:r>
            <w:r>
              <w:t xml:space="preserve">in Step 5).   </w:t>
            </w:r>
          </w:p>
          <w:p w14:paraId="587D7FDA" w14:textId="77777777" w:rsidR="00CE02F1" w:rsidRDefault="00CE02F1" w:rsidP="003223A2">
            <w:r>
              <w:rPr>
                <w:rFonts w:hint="eastAsia"/>
              </w:rPr>
              <w:t></w:t>
            </w:r>
            <w:r>
              <w:rPr>
                <w:rFonts w:hint="eastAsia"/>
              </w:rPr>
              <w:tab/>
              <w:t xml:space="preserve">The provided periodic CSI configuration should be consistent with reported UE capabilities </w:t>
            </w:r>
          </w:p>
          <w:p w14:paraId="619EB66B" w14:textId="77777777" w:rsidR="00CE02F1" w:rsidRDefault="00CE02F1" w:rsidP="003223A2">
            <w:r>
              <w:rPr>
                <w:rFonts w:hint="eastAsia"/>
              </w:rPr>
              <w:t></w:t>
            </w:r>
            <w:r>
              <w:rPr>
                <w:rFonts w:hint="eastAsia"/>
              </w:rPr>
              <w:tab/>
              <w:t xml:space="preserve">FFS option B </w:t>
            </w:r>
          </w:p>
          <w:p w14:paraId="20C91A1D" w14:textId="77777777" w:rsidR="00CE02F1" w:rsidRDefault="00CE02F1" w:rsidP="003223A2">
            <w:r>
              <w:rPr>
                <w:rFonts w:hint="eastAsia"/>
              </w:rPr>
              <w:t></w:t>
            </w:r>
            <w:r>
              <w:rPr>
                <w:rFonts w:hint="eastAsia"/>
              </w:rPr>
              <w:tab/>
              <w:t>Semi-persistent and aperiodic CSI reporting of applicable functionality is activated following legacy CSI framework:</w:t>
            </w:r>
          </w:p>
          <w:p w14:paraId="5DFB8BF2" w14:textId="77777777" w:rsidR="00CE02F1" w:rsidRDefault="00CE02F1" w:rsidP="003223A2">
            <w:r>
              <w:t>Semi-persistent reporting, activated by MAC CE/DCI</w:t>
            </w:r>
          </w:p>
          <w:p w14:paraId="1634B2B6" w14:textId="77777777" w:rsidR="00CE02F1" w:rsidRPr="007B25D9" w:rsidRDefault="00CE02F1" w:rsidP="003223A2">
            <w:pPr>
              <w:rPr>
                <w:b/>
                <w:bCs/>
              </w:rPr>
            </w:pPr>
            <w:r>
              <w:t>Aperiodic CSI reporting, activated by DCI</w:t>
            </w:r>
          </w:p>
        </w:tc>
      </w:tr>
    </w:tbl>
    <w:p w14:paraId="086C40D5" w14:textId="77777777" w:rsidR="00E11B47" w:rsidRPr="00CE02F1" w:rsidRDefault="00E11B47" w:rsidP="00CF3EEE">
      <w:pPr>
        <w:contextualSpacing/>
        <w:rPr>
          <w:rFonts w:ascii="Arial" w:hAnsi="Arial" w:cs="Arial"/>
          <w:sz w:val="22"/>
          <w:szCs w:val="20"/>
        </w:rPr>
      </w:pPr>
    </w:p>
    <w:p w14:paraId="5FA2A56C" w14:textId="7A13B664" w:rsidR="00E11B47" w:rsidRDefault="00CE02F1" w:rsidP="00CF3EEE">
      <w:pPr>
        <w:contextualSpacing/>
        <w:rPr>
          <w:rFonts w:ascii="Arial" w:hAnsi="Arial" w:cs="Arial"/>
          <w:sz w:val="22"/>
          <w:szCs w:val="20"/>
        </w:rPr>
      </w:pPr>
      <w:r>
        <w:rPr>
          <w:rFonts w:ascii="Arial" w:hAnsi="Arial" w:cs="Arial"/>
          <w:sz w:val="22"/>
          <w:szCs w:val="20"/>
        </w:rPr>
        <w:t xml:space="preserve">During RAN2 </w:t>
      </w:r>
      <w:r w:rsidR="00D16900">
        <w:rPr>
          <w:rFonts w:ascii="Arial" w:hAnsi="Arial" w:cs="Arial"/>
          <w:sz w:val="22"/>
          <w:szCs w:val="20"/>
        </w:rPr>
        <w:t>#129, RAN2 agre</w:t>
      </w:r>
      <w:r w:rsidR="001D26E3">
        <w:rPr>
          <w:rFonts w:ascii="Arial" w:hAnsi="Arial" w:cs="Arial"/>
          <w:sz w:val="22"/>
          <w:szCs w:val="20"/>
        </w:rPr>
        <w:t xml:space="preserve">ed the </w:t>
      </w:r>
      <w:r w:rsidR="00236978">
        <w:rPr>
          <w:rFonts w:ascii="Arial" w:hAnsi="Arial" w:cs="Arial"/>
          <w:sz w:val="22"/>
          <w:szCs w:val="20"/>
        </w:rPr>
        <w:t xml:space="preserve">general </w:t>
      </w:r>
      <w:r w:rsidR="001D26E3">
        <w:rPr>
          <w:rFonts w:ascii="Arial" w:hAnsi="Arial" w:cs="Arial"/>
          <w:sz w:val="22"/>
          <w:szCs w:val="20"/>
        </w:rPr>
        <w:t>procedure of option A</w:t>
      </w:r>
      <w:r w:rsidR="00236978">
        <w:rPr>
          <w:rFonts w:ascii="Arial" w:hAnsi="Arial" w:cs="Arial"/>
          <w:sz w:val="22"/>
          <w:szCs w:val="20"/>
        </w:rPr>
        <w:t>, i.e., inference configuration(s) are provided in step 3, UE reports the applicability/inapplicability based on the received inference configuration(s)</w:t>
      </w:r>
      <w:r w:rsidR="00385EA2">
        <w:rPr>
          <w:rFonts w:ascii="Arial" w:hAnsi="Arial" w:cs="Arial"/>
          <w:sz w:val="22"/>
          <w:szCs w:val="20"/>
        </w:rPr>
        <w:t xml:space="preserve"> and starts performing inference based on the configuration(s). However, a remaining issue is that, what happens to the inference configuration</w:t>
      </w:r>
      <w:r w:rsidR="00112013">
        <w:rPr>
          <w:rFonts w:ascii="Arial" w:hAnsi="Arial" w:cs="Arial"/>
          <w:sz w:val="22"/>
          <w:szCs w:val="20"/>
        </w:rPr>
        <w:t>(s)</w:t>
      </w:r>
      <w:r w:rsidR="00385EA2">
        <w:rPr>
          <w:rFonts w:ascii="Arial" w:hAnsi="Arial" w:cs="Arial"/>
          <w:sz w:val="22"/>
          <w:szCs w:val="20"/>
        </w:rPr>
        <w:t xml:space="preserve"> that </w:t>
      </w:r>
      <w:r w:rsidR="00112013">
        <w:rPr>
          <w:rFonts w:ascii="Arial" w:hAnsi="Arial" w:cs="Arial"/>
          <w:sz w:val="22"/>
          <w:szCs w:val="20"/>
        </w:rPr>
        <w:t>are</w:t>
      </w:r>
      <w:r w:rsidR="00385EA2">
        <w:rPr>
          <w:rFonts w:ascii="Arial" w:hAnsi="Arial" w:cs="Arial"/>
          <w:sz w:val="22"/>
          <w:szCs w:val="20"/>
        </w:rPr>
        <w:t xml:space="preserve"> </w:t>
      </w:r>
      <w:r w:rsidR="00112013">
        <w:rPr>
          <w:rFonts w:ascii="Arial" w:hAnsi="Arial" w:cs="Arial"/>
          <w:sz w:val="22"/>
          <w:szCs w:val="20"/>
        </w:rPr>
        <w:t>determined inapplicable by the UE?</w:t>
      </w:r>
    </w:p>
    <w:p w14:paraId="4B46D3D7" w14:textId="4EA3485A" w:rsidR="00F7341D" w:rsidRDefault="00F7341D" w:rsidP="00F7341D">
      <w:pPr>
        <w:pStyle w:val="af0"/>
        <w:numPr>
          <w:ilvl w:val="0"/>
          <w:numId w:val="2"/>
        </w:numPr>
        <w:ind w:leftChars="0"/>
        <w:contextualSpacing/>
        <w:rPr>
          <w:rFonts w:ascii="Arial" w:hAnsi="Arial" w:cs="Arial"/>
          <w:sz w:val="22"/>
          <w:szCs w:val="20"/>
        </w:rPr>
      </w:pPr>
      <w:r>
        <w:rPr>
          <w:rFonts w:ascii="Arial" w:hAnsi="Arial" w:cs="Arial"/>
          <w:sz w:val="22"/>
          <w:szCs w:val="20"/>
        </w:rPr>
        <w:t>Option 1: The UE d</w:t>
      </w:r>
      <w:r w:rsidR="00F25A26">
        <w:rPr>
          <w:rFonts w:ascii="Arial" w:hAnsi="Arial" w:cs="Arial"/>
          <w:sz w:val="22"/>
          <w:szCs w:val="20"/>
        </w:rPr>
        <w:t>iscards the inapplicable configuration(s) (e.g., automatically release).</w:t>
      </w:r>
    </w:p>
    <w:p w14:paraId="5FD7B3AC" w14:textId="3682EB88" w:rsidR="00F25A26" w:rsidRPr="00B8383B" w:rsidRDefault="00F25A26" w:rsidP="00B8383B">
      <w:pPr>
        <w:pStyle w:val="af0"/>
        <w:numPr>
          <w:ilvl w:val="0"/>
          <w:numId w:val="2"/>
        </w:numPr>
        <w:ind w:leftChars="0"/>
        <w:contextualSpacing/>
        <w:rPr>
          <w:rFonts w:ascii="Arial" w:hAnsi="Arial" w:cs="Arial"/>
          <w:sz w:val="22"/>
          <w:szCs w:val="20"/>
        </w:rPr>
      </w:pPr>
      <w:r>
        <w:rPr>
          <w:rFonts w:ascii="Arial" w:hAnsi="Arial" w:cs="Arial"/>
          <w:sz w:val="22"/>
          <w:szCs w:val="20"/>
        </w:rPr>
        <w:t xml:space="preserve">Option 2: The UE </w:t>
      </w:r>
      <w:r w:rsidR="00B31B53">
        <w:rPr>
          <w:rFonts w:ascii="Arial" w:hAnsi="Arial" w:cs="Arial"/>
          <w:sz w:val="22"/>
          <w:szCs w:val="20"/>
        </w:rPr>
        <w:t>keeps the inapplicable configuration(s). The UE may train or obtain an AI/ML</w:t>
      </w:r>
      <w:r w:rsidR="00400E04">
        <w:rPr>
          <w:rFonts w:ascii="Arial" w:hAnsi="Arial" w:cs="Arial"/>
          <w:sz w:val="22"/>
          <w:szCs w:val="20"/>
        </w:rPr>
        <w:t xml:space="preserve"> model</w:t>
      </w:r>
      <w:r w:rsidR="00B31B53">
        <w:rPr>
          <w:rFonts w:ascii="Arial" w:hAnsi="Arial" w:cs="Arial"/>
          <w:sz w:val="22"/>
          <w:szCs w:val="20"/>
        </w:rPr>
        <w:t xml:space="preserve"> afterwards to </w:t>
      </w:r>
      <w:r w:rsidR="00F97C5B">
        <w:rPr>
          <w:rFonts w:ascii="Arial" w:hAnsi="Arial" w:cs="Arial"/>
          <w:sz w:val="22"/>
          <w:szCs w:val="20"/>
        </w:rPr>
        <w:t>be applicable for the configuration(s).</w:t>
      </w:r>
      <w:r w:rsidR="00400E04">
        <w:rPr>
          <w:rFonts w:ascii="Arial" w:hAnsi="Arial" w:cs="Arial"/>
          <w:sz w:val="22"/>
          <w:szCs w:val="20"/>
        </w:rPr>
        <w:t xml:space="preserve"> The NW may also release the inapplicable configuration(s)</w:t>
      </w:r>
      <w:r w:rsidR="00913E0C">
        <w:rPr>
          <w:rFonts w:ascii="Arial" w:hAnsi="Arial" w:cs="Arial"/>
          <w:sz w:val="22"/>
          <w:szCs w:val="20"/>
        </w:rPr>
        <w:t xml:space="preserve"> based on NW implementation.</w:t>
      </w:r>
    </w:p>
    <w:p w14:paraId="7F4A6D1F" w14:textId="77777777" w:rsidR="00F7341D" w:rsidRPr="00400E04" w:rsidRDefault="00F7341D" w:rsidP="00CF3EEE">
      <w:pPr>
        <w:contextualSpacing/>
        <w:rPr>
          <w:rFonts w:ascii="Arial" w:hAnsi="Arial" w:cs="Arial"/>
          <w:sz w:val="22"/>
          <w:szCs w:val="20"/>
        </w:rPr>
      </w:pPr>
    </w:p>
    <w:p w14:paraId="4D83BD7E" w14:textId="6FB4244F" w:rsidR="009F7D1A" w:rsidRPr="004165D3" w:rsidRDefault="009F7D1A" w:rsidP="00CF3EEE">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B002BB">
        <w:rPr>
          <w:rFonts w:ascii="Arial" w:hAnsi="Arial" w:cs="Arial"/>
          <w:b/>
          <w:bCs/>
          <w:sz w:val="22"/>
          <w:szCs w:val="20"/>
        </w:rPr>
        <w:t xml:space="preserve"> </w:t>
      </w:r>
      <w:r w:rsidR="00F97C5B">
        <w:rPr>
          <w:rFonts w:ascii="Arial" w:hAnsi="Arial" w:cs="Arial"/>
          <w:b/>
          <w:bCs/>
          <w:sz w:val="22"/>
          <w:szCs w:val="20"/>
        </w:rPr>
        <w:t>1</w:t>
      </w:r>
      <w:r>
        <w:rPr>
          <w:rFonts w:ascii="Arial" w:hAnsi="Arial" w:cs="Arial"/>
          <w:b/>
          <w:bCs/>
          <w:sz w:val="22"/>
          <w:szCs w:val="20"/>
        </w:rPr>
        <w:t xml:space="preserve">: </w:t>
      </w:r>
      <w:r w:rsidR="0076622C">
        <w:rPr>
          <w:rFonts w:ascii="Arial" w:hAnsi="Arial" w:cs="Arial"/>
          <w:b/>
          <w:bCs/>
          <w:sz w:val="22"/>
          <w:szCs w:val="20"/>
        </w:rPr>
        <w:t xml:space="preserve">For </w:t>
      </w:r>
      <w:r w:rsidR="00AA041A">
        <w:rPr>
          <w:rFonts w:ascii="Arial" w:hAnsi="Arial" w:cs="Arial"/>
          <w:b/>
          <w:bCs/>
          <w:sz w:val="22"/>
          <w:szCs w:val="20"/>
        </w:rPr>
        <w:t xml:space="preserve">option </w:t>
      </w:r>
      <w:r w:rsidR="0076622C">
        <w:rPr>
          <w:rFonts w:ascii="Arial" w:hAnsi="Arial" w:cs="Arial"/>
          <w:b/>
          <w:bCs/>
          <w:sz w:val="22"/>
          <w:szCs w:val="20"/>
        </w:rPr>
        <w:t xml:space="preserve">A, RAN2 discuss whether the </w:t>
      </w:r>
      <w:r w:rsidR="00AA041A">
        <w:rPr>
          <w:rFonts w:ascii="Arial" w:hAnsi="Arial" w:cs="Arial"/>
          <w:b/>
          <w:bCs/>
          <w:sz w:val="22"/>
          <w:szCs w:val="20"/>
        </w:rPr>
        <w:t>in</w:t>
      </w:r>
      <w:r w:rsidR="0076622C">
        <w:rPr>
          <w:rFonts w:ascii="Arial" w:hAnsi="Arial" w:cs="Arial"/>
          <w:b/>
          <w:bCs/>
          <w:sz w:val="22"/>
          <w:szCs w:val="20"/>
        </w:rPr>
        <w:t>applicable configurations provided in step 3 are discarded or kept as deactivated (</w:t>
      </w:r>
      <w:r w:rsidR="005A3C7C">
        <w:rPr>
          <w:rFonts w:ascii="Arial" w:hAnsi="Arial" w:cs="Arial"/>
          <w:b/>
          <w:bCs/>
          <w:sz w:val="22"/>
          <w:szCs w:val="20"/>
        </w:rPr>
        <w:t xml:space="preserve">e.g., </w:t>
      </w:r>
      <w:r w:rsidR="0076622C">
        <w:rPr>
          <w:rFonts w:ascii="Arial" w:hAnsi="Arial" w:cs="Arial"/>
          <w:b/>
          <w:bCs/>
          <w:sz w:val="22"/>
          <w:szCs w:val="20"/>
        </w:rPr>
        <w:t>for future applicability change</w:t>
      </w:r>
      <w:r w:rsidR="005A3C7C">
        <w:rPr>
          <w:rFonts w:ascii="Arial" w:hAnsi="Arial" w:cs="Arial"/>
          <w:b/>
          <w:bCs/>
          <w:sz w:val="22"/>
          <w:szCs w:val="20"/>
        </w:rPr>
        <w:t xml:space="preserve"> or </w:t>
      </w:r>
      <w:r w:rsidR="00AA041A">
        <w:rPr>
          <w:rFonts w:ascii="Arial" w:hAnsi="Arial" w:cs="Arial"/>
          <w:b/>
          <w:bCs/>
          <w:sz w:val="22"/>
          <w:szCs w:val="20"/>
        </w:rPr>
        <w:t>training</w:t>
      </w:r>
      <w:r w:rsidR="0076622C">
        <w:rPr>
          <w:rFonts w:ascii="Arial" w:hAnsi="Arial" w:cs="Arial"/>
          <w:b/>
          <w:bCs/>
          <w:sz w:val="22"/>
          <w:szCs w:val="20"/>
        </w:rPr>
        <w:t>).</w:t>
      </w:r>
    </w:p>
    <w:p w14:paraId="3936F02C" w14:textId="77777777" w:rsidR="003B2071" w:rsidRDefault="003B2071" w:rsidP="00CF3EEE">
      <w:pPr>
        <w:contextualSpacing/>
        <w:rPr>
          <w:rFonts w:ascii="Arial" w:hAnsi="Arial" w:cs="Arial"/>
          <w:sz w:val="22"/>
          <w:szCs w:val="20"/>
        </w:rPr>
      </w:pPr>
    </w:p>
    <w:p w14:paraId="2A997E13" w14:textId="021D9259" w:rsidR="00913E0C" w:rsidRDefault="00913E0C" w:rsidP="00CF3EEE">
      <w:pPr>
        <w:contextualSpacing/>
        <w:rPr>
          <w:rFonts w:ascii="Arial" w:hAnsi="Arial" w:cs="Arial"/>
          <w:sz w:val="22"/>
          <w:szCs w:val="20"/>
        </w:rPr>
      </w:pPr>
      <w:r>
        <w:rPr>
          <w:rFonts w:ascii="Arial" w:hAnsi="Arial" w:cs="Arial"/>
          <w:sz w:val="22"/>
          <w:szCs w:val="20"/>
        </w:rPr>
        <w:t xml:space="preserve">For option B, it is unclear </w:t>
      </w:r>
      <w:r w:rsidR="004016AC">
        <w:rPr>
          <w:rFonts w:ascii="Arial" w:hAnsi="Arial" w:cs="Arial"/>
          <w:sz w:val="22"/>
          <w:szCs w:val="20"/>
        </w:rPr>
        <w:t>of what is option B. We think a first step is to align the companies understanding</w:t>
      </w:r>
      <w:r w:rsidR="004016AC" w:rsidRPr="004016AC">
        <w:rPr>
          <w:rFonts w:ascii="Arial" w:hAnsi="Arial" w:cs="Arial"/>
          <w:sz w:val="22"/>
          <w:szCs w:val="20"/>
        </w:rPr>
        <w:t xml:space="preserve"> </w:t>
      </w:r>
      <w:r w:rsidR="004016AC">
        <w:rPr>
          <w:rFonts w:ascii="Arial" w:hAnsi="Arial" w:cs="Arial"/>
          <w:sz w:val="22"/>
          <w:szCs w:val="20"/>
        </w:rPr>
        <w:t>on what content is included in a configuration for option B.</w:t>
      </w:r>
      <w:r w:rsidR="005065DC">
        <w:rPr>
          <w:rFonts w:ascii="Arial" w:hAnsi="Arial" w:cs="Arial"/>
          <w:sz w:val="22"/>
          <w:szCs w:val="20"/>
        </w:rPr>
        <w:t xml:space="preserve"> In our opinion, a configuration for option B may be </w:t>
      </w:r>
      <w:r w:rsidR="00CB21E8">
        <w:rPr>
          <w:rFonts w:ascii="Arial" w:hAnsi="Arial" w:cs="Arial"/>
          <w:sz w:val="22"/>
          <w:szCs w:val="20"/>
        </w:rPr>
        <w:t>one of the options:</w:t>
      </w:r>
    </w:p>
    <w:p w14:paraId="3D8B5747" w14:textId="160304ED" w:rsidR="00CB21E8" w:rsidRDefault="00CB21E8" w:rsidP="00CB21E8">
      <w:pPr>
        <w:pStyle w:val="af0"/>
        <w:numPr>
          <w:ilvl w:val="0"/>
          <w:numId w:val="2"/>
        </w:numPr>
        <w:ind w:leftChars="0"/>
        <w:contextualSpacing/>
        <w:rPr>
          <w:rFonts w:ascii="Arial" w:hAnsi="Arial" w:cs="Arial"/>
          <w:sz w:val="22"/>
          <w:szCs w:val="20"/>
        </w:rPr>
      </w:pPr>
      <w:r>
        <w:rPr>
          <w:rFonts w:ascii="Arial" w:hAnsi="Arial" w:cs="Arial"/>
          <w:sz w:val="22"/>
          <w:szCs w:val="20"/>
        </w:rPr>
        <w:t xml:space="preserve">Option 1: option B is </w:t>
      </w:r>
      <w:r w:rsidR="00495801">
        <w:rPr>
          <w:rFonts w:ascii="Arial" w:hAnsi="Arial" w:cs="Arial"/>
          <w:sz w:val="22"/>
          <w:szCs w:val="20"/>
        </w:rPr>
        <w:t>subset</w:t>
      </w:r>
      <w:r>
        <w:rPr>
          <w:rFonts w:ascii="Arial" w:hAnsi="Arial" w:cs="Arial"/>
          <w:sz w:val="22"/>
          <w:szCs w:val="20"/>
        </w:rPr>
        <w:t xml:space="preserve"> of the full inference configuration</w:t>
      </w:r>
      <w:r w:rsidR="00DE4A8B">
        <w:rPr>
          <w:rFonts w:ascii="Arial" w:hAnsi="Arial" w:cs="Arial"/>
          <w:sz w:val="22"/>
          <w:szCs w:val="20"/>
        </w:rPr>
        <w:t xml:space="preserve">. FFS </w:t>
      </w:r>
      <w:r w:rsidR="00FC0B88">
        <w:rPr>
          <w:rFonts w:ascii="Arial" w:hAnsi="Arial" w:cs="Arial"/>
          <w:sz w:val="22"/>
          <w:szCs w:val="20"/>
        </w:rPr>
        <w:t>what is included in the</w:t>
      </w:r>
      <w:r w:rsidR="00DE4A8B">
        <w:rPr>
          <w:rFonts w:ascii="Arial" w:hAnsi="Arial" w:cs="Arial"/>
          <w:sz w:val="22"/>
          <w:szCs w:val="20"/>
        </w:rPr>
        <w:t xml:space="preserve"> inference configuration.</w:t>
      </w:r>
    </w:p>
    <w:p w14:paraId="100E2C47" w14:textId="5B59A31B" w:rsidR="00DE4A8B" w:rsidRPr="00B8383B" w:rsidRDefault="00DE4A8B" w:rsidP="00B8383B">
      <w:pPr>
        <w:pStyle w:val="af0"/>
        <w:numPr>
          <w:ilvl w:val="0"/>
          <w:numId w:val="2"/>
        </w:numPr>
        <w:ind w:leftChars="0"/>
        <w:contextualSpacing/>
        <w:rPr>
          <w:rFonts w:ascii="Arial" w:hAnsi="Arial" w:cs="Arial"/>
          <w:sz w:val="22"/>
          <w:szCs w:val="20"/>
        </w:rPr>
      </w:pPr>
      <w:r>
        <w:rPr>
          <w:rFonts w:ascii="Arial" w:hAnsi="Arial" w:cs="Arial" w:hint="eastAsia"/>
          <w:sz w:val="22"/>
          <w:szCs w:val="20"/>
        </w:rPr>
        <w:t>O</w:t>
      </w:r>
      <w:r>
        <w:rPr>
          <w:rFonts w:ascii="Arial" w:hAnsi="Arial" w:cs="Arial"/>
          <w:sz w:val="22"/>
          <w:szCs w:val="20"/>
        </w:rPr>
        <w:t>ption 2:</w:t>
      </w:r>
      <w:r w:rsidR="00FC0B88">
        <w:rPr>
          <w:rFonts w:ascii="Arial" w:hAnsi="Arial" w:cs="Arial"/>
          <w:sz w:val="22"/>
          <w:szCs w:val="20"/>
        </w:rPr>
        <w:t xml:space="preserve"> option B is assistance information for the NW to determine the applicability of an inference configuration (i.e., </w:t>
      </w:r>
      <w:r w:rsidR="002D2DA6">
        <w:rPr>
          <w:rFonts w:ascii="Arial" w:hAnsi="Arial" w:cs="Arial"/>
          <w:sz w:val="22"/>
          <w:szCs w:val="20"/>
        </w:rPr>
        <w:t xml:space="preserve">option B may include additional information </w:t>
      </w:r>
      <w:r w:rsidR="00E429EA">
        <w:rPr>
          <w:rFonts w:ascii="Arial" w:hAnsi="Arial" w:cs="Arial"/>
          <w:sz w:val="22"/>
          <w:szCs w:val="20"/>
        </w:rPr>
        <w:t xml:space="preserve">not included in the full inference configuration, for example, multiple </w:t>
      </w:r>
      <w:r w:rsidR="00D464AE">
        <w:rPr>
          <w:rFonts w:ascii="Arial" w:hAnsi="Arial" w:cs="Arial"/>
          <w:sz w:val="22"/>
          <w:szCs w:val="20"/>
        </w:rPr>
        <w:t>candidate</w:t>
      </w:r>
      <w:r w:rsidR="00E429EA">
        <w:rPr>
          <w:rFonts w:ascii="Arial" w:hAnsi="Arial" w:cs="Arial"/>
          <w:sz w:val="22"/>
          <w:szCs w:val="20"/>
        </w:rPr>
        <w:t xml:space="preserve"> sets of RS resources</w:t>
      </w:r>
      <w:r w:rsidR="00FC0B88">
        <w:rPr>
          <w:rFonts w:ascii="Arial" w:hAnsi="Arial" w:cs="Arial"/>
          <w:sz w:val="22"/>
          <w:szCs w:val="20"/>
        </w:rPr>
        <w:t>)</w:t>
      </w:r>
      <w:r w:rsidR="004F164F">
        <w:rPr>
          <w:rFonts w:ascii="Arial" w:hAnsi="Arial" w:cs="Arial"/>
          <w:sz w:val="22"/>
          <w:szCs w:val="20"/>
        </w:rPr>
        <w:t>.</w:t>
      </w:r>
    </w:p>
    <w:p w14:paraId="55BED217" w14:textId="77777777" w:rsidR="00991D94" w:rsidRDefault="00991D94" w:rsidP="00991D94">
      <w:pPr>
        <w:rPr>
          <w:rFonts w:ascii="Arial" w:hAnsi="Arial" w:cs="Arial"/>
          <w:b/>
          <w:bCs/>
          <w:sz w:val="22"/>
          <w:szCs w:val="20"/>
        </w:rPr>
      </w:pPr>
    </w:p>
    <w:p w14:paraId="6D9AAC92" w14:textId="49D4369A" w:rsidR="004F164F" w:rsidRPr="000C37C2" w:rsidRDefault="00991D94" w:rsidP="0076622C">
      <w:pPr>
        <w:rPr>
          <w:rFonts w:ascii="Arial" w:hAnsi="Arial" w:cs="Arial"/>
          <w:b/>
          <w:bCs/>
          <w:sz w:val="22"/>
          <w:szCs w:val="20"/>
        </w:rPr>
      </w:pPr>
      <w:r w:rsidRPr="00B8383B">
        <w:rPr>
          <w:rFonts w:ascii="Arial" w:hAnsi="Arial" w:cs="Arial" w:hint="eastAsia"/>
          <w:b/>
          <w:bCs/>
          <w:sz w:val="22"/>
          <w:szCs w:val="20"/>
        </w:rPr>
        <w:t>P</w:t>
      </w:r>
      <w:r w:rsidRPr="00B8383B">
        <w:rPr>
          <w:rFonts w:ascii="Arial" w:hAnsi="Arial" w:cs="Arial"/>
          <w:b/>
          <w:bCs/>
          <w:sz w:val="22"/>
          <w:szCs w:val="20"/>
        </w:rPr>
        <w:t xml:space="preserve">roposal </w:t>
      </w:r>
      <w:r>
        <w:rPr>
          <w:rFonts w:ascii="Arial" w:hAnsi="Arial" w:cs="Arial"/>
          <w:b/>
          <w:bCs/>
          <w:sz w:val="22"/>
          <w:szCs w:val="20"/>
        </w:rPr>
        <w:t>2</w:t>
      </w:r>
      <w:r w:rsidRPr="00B8383B">
        <w:rPr>
          <w:rFonts w:ascii="Arial" w:hAnsi="Arial" w:cs="Arial"/>
          <w:b/>
          <w:bCs/>
          <w:sz w:val="22"/>
          <w:szCs w:val="20"/>
        </w:rPr>
        <w:t xml:space="preserve">: For option </w:t>
      </w:r>
      <w:r>
        <w:rPr>
          <w:rFonts w:ascii="Arial" w:hAnsi="Arial" w:cs="Arial"/>
          <w:b/>
          <w:bCs/>
          <w:sz w:val="22"/>
          <w:szCs w:val="20"/>
        </w:rPr>
        <w:t>B</w:t>
      </w:r>
      <w:r w:rsidRPr="00B8383B">
        <w:rPr>
          <w:rFonts w:ascii="Arial" w:hAnsi="Arial" w:cs="Arial"/>
          <w:b/>
          <w:bCs/>
          <w:sz w:val="22"/>
          <w:szCs w:val="20"/>
        </w:rPr>
        <w:t xml:space="preserve">, RAN2 discuss </w:t>
      </w:r>
      <w:r>
        <w:rPr>
          <w:rFonts w:ascii="Arial" w:hAnsi="Arial" w:cs="Arial"/>
          <w:b/>
          <w:bCs/>
          <w:sz w:val="22"/>
          <w:szCs w:val="20"/>
        </w:rPr>
        <w:t>what is the content</w:t>
      </w:r>
      <w:r w:rsidR="008A649D">
        <w:rPr>
          <w:rFonts w:ascii="Arial" w:hAnsi="Arial" w:cs="Arial"/>
          <w:b/>
          <w:bCs/>
          <w:sz w:val="22"/>
          <w:szCs w:val="20"/>
        </w:rPr>
        <w:t xml:space="preserve"> of option B.</w:t>
      </w:r>
    </w:p>
    <w:p w14:paraId="7869A97B" w14:textId="18420C91" w:rsidR="00E73D23" w:rsidRPr="00A32382" w:rsidRDefault="00A32382" w:rsidP="00CF3EEE">
      <w:pPr>
        <w:contextualSpacing/>
        <w:rPr>
          <w:rFonts w:ascii="Arial" w:hAnsi="Arial" w:cs="Arial"/>
          <w:b/>
          <w:bCs/>
          <w:sz w:val="22"/>
          <w:szCs w:val="20"/>
        </w:rPr>
      </w:pPr>
      <w:r w:rsidRPr="00B8383B">
        <w:rPr>
          <w:rFonts w:ascii="Arial" w:hAnsi="Arial" w:cs="Arial"/>
          <w:b/>
          <w:bCs/>
          <w:sz w:val="22"/>
          <w:szCs w:val="20"/>
        </w:rPr>
        <w:t xml:space="preserve">Proposal 3: </w:t>
      </w:r>
      <w:r w:rsidR="009214D7" w:rsidRPr="00A32382">
        <w:rPr>
          <w:rFonts w:ascii="Arial" w:hAnsi="Arial" w:cs="Arial" w:hint="eastAsia"/>
          <w:b/>
          <w:bCs/>
          <w:sz w:val="22"/>
          <w:szCs w:val="20"/>
        </w:rPr>
        <w:t>I</w:t>
      </w:r>
      <w:r w:rsidR="009214D7" w:rsidRPr="00A32382">
        <w:rPr>
          <w:rFonts w:ascii="Arial" w:hAnsi="Arial" w:cs="Arial"/>
          <w:b/>
          <w:bCs/>
          <w:sz w:val="22"/>
          <w:szCs w:val="20"/>
        </w:rPr>
        <w:t xml:space="preserve">f option B is </w:t>
      </w:r>
      <w:r w:rsidR="00495801" w:rsidRPr="00B8383B">
        <w:rPr>
          <w:rFonts w:ascii="Arial" w:hAnsi="Arial" w:cs="Arial"/>
          <w:b/>
          <w:bCs/>
          <w:sz w:val="22"/>
          <w:szCs w:val="20"/>
        </w:rPr>
        <w:t>subset</w:t>
      </w:r>
      <w:r w:rsidR="009214D7" w:rsidRPr="00B8383B">
        <w:rPr>
          <w:rFonts w:ascii="Arial" w:hAnsi="Arial" w:cs="Arial"/>
          <w:b/>
          <w:bCs/>
          <w:sz w:val="22"/>
          <w:szCs w:val="20"/>
        </w:rPr>
        <w:t xml:space="preserve"> of the full inference configuration</w:t>
      </w:r>
      <w:r w:rsidR="00EC1D04" w:rsidRPr="00B8383B">
        <w:rPr>
          <w:rFonts w:ascii="Arial" w:hAnsi="Arial" w:cs="Arial"/>
          <w:b/>
          <w:bCs/>
          <w:sz w:val="22"/>
          <w:szCs w:val="20"/>
        </w:rPr>
        <w:t xml:space="preserve">, whether </w:t>
      </w:r>
      <w:r w:rsidRPr="00B8383B">
        <w:rPr>
          <w:rFonts w:ascii="Arial" w:hAnsi="Arial" w:cs="Arial"/>
          <w:b/>
          <w:bCs/>
          <w:sz w:val="22"/>
          <w:szCs w:val="20"/>
        </w:rPr>
        <w:t>a</w:t>
      </w:r>
      <w:r w:rsidR="00495801" w:rsidRPr="00B8383B">
        <w:rPr>
          <w:rFonts w:ascii="Arial" w:hAnsi="Arial" w:cs="Arial"/>
          <w:b/>
          <w:bCs/>
          <w:sz w:val="22"/>
          <w:szCs w:val="20"/>
        </w:rPr>
        <w:t xml:space="preserve"> configuration for option B is associated with the full inference configuration</w:t>
      </w:r>
      <w:r w:rsidR="003311D0" w:rsidRPr="00B8383B">
        <w:rPr>
          <w:rFonts w:ascii="Arial" w:hAnsi="Arial" w:cs="Arial"/>
          <w:b/>
          <w:bCs/>
          <w:sz w:val="22"/>
          <w:szCs w:val="20"/>
        </w:rPr>
        <w:t xml:space="preserve"> (e.g., reporting applicable for </w:t>
      </w:r>
      <w:r w:rsidRPr="00B8383B">
        <w:rPr>
          <w:rFonts w:ascii="Arial" w:hAnsi="Arial" w:cs="Arial"/>
          <w:b/>
          <w:bCs/>
          <w:sz w:val="22"/>
          <w:szCs w:val="20"/>
        </w:rPr>
        <w:t>a configuration for option B equals reporting applicable for the associated full inference configuration</w:t>
      </w:r>
      <w:r w:rsidR="003311D0" w:rsidRPr="00B8383B">
        <w:rPr>
          <w:rFonts w:ascii="Arial" w:hAnsi="Arial" w:cs="Arial"/>
          <w:b/>
          <w:bCs/>
          <w:sz w:val="22"/>
          <w:szCs w:val="20"/>
        </w:rPr>
        <w:t>)</w:t>
      </w:r>
      <w:r w:rsidR="00495801" w:rsidRPr="00B8383B">
        <w:rPr>
          <w:rFonts w:ascii="Arial" w:hAnsi="Arial" w:cs="Arial"/>
          <w:b/>
          <w:bCs/>
          <w:sz w:val="22"/>
          <w:szCs w:val="20"/>
        </w:rPr>
        <w:t>.</w:t>
      </w:r>
    </w:p>
    <w:p w14:paraId="5FC5E3BD" w14:textId="77777777" w:rsidR="009214D7" w:rsidRDefault="009214D7" w:rsidP="00CF3EEE">
      <w:pPr>
        <w:contextualSpacing/>
        <w:rPr>
          <w:rFonts w:ascii="Arial" w:hAnsi="Arial" w:cs="Arial"/>
          <w:sz w:val="22"/>
          <w:szCs w:val="20"/>
        </w:rPr>
      </w:pPr>
    </w:p>
    <w:p w14:paraId="5954A129" w14:textId="6DC4D320" w:rsidR="00A32382" w:rsidRDefault="00A32382" w:rsidP="00CF3EEE">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 xml:space="preserve">or the report of the applicability/inapplicability in step 4, </w:t>
      </w:r>
      <w:r w:rsidR="00AF6827">
        <w:rPr>
          <w:rFonts w:ascii="Arial" w:hAnsi="Arial" w:cs="Arial"/>
          <w:sz w:val="22"/>
          <w:szCs w:val="20"/>
        </w:rPr>
        <w:t xml:space="preserve">there may be different possibilities based on </w:t>
      </w:r>
      <w:r w:rsidR="00D50663">
        <w:rPr>
          <w:rFonts w:ascii="Arial" w:hAnsi="Arial" w:cs="Arial"/>
          <w:sz w:val="22"/>
          <w:szCs w:val="20"/>
        </w:rPr>
        <w:t>the design of option A and B.</w:t>
      </w:r>
      <w:r w:rsidR="00336873">
        <w:rPr>
          <w:rFonts w:ascii="Arial" w:hAnsi="Arial" w:cs="Arial"/>
          <w:sz w:val="22"/>
          <w:szCs w:val="20"/>
        </w:rPr>
        <w:t xml:space="preserve"> </w:t>
      </w:r>
      <w:r w:rsidR="001679D1">
        <w:rPr>
          <w:rFonts w:ascii="Arial" w:hAnsi="Arial" w:cs="Arial"/>
          <w:sz w:val="22"/>
          <w:szCs w:val="20"/>
        </w:rPr>
        <w:t xml:space="preserve">In our opinion, to achieve a unified structure for potential AI/ML functionalities, </w:t>
      </w:r>
      <w:r w:rsidR="003A08B1">
        <w:rPr>
          <w:rFonts w:ascii="Arial" w:hAnsi="Arial" w:cs="Arial"/>
          <w:sz w:val="22"/>
          <w:szCs w:val="20"/>
        </w:rPr>
        <w:t xml:space="preserve">the applicability/inapplicability report </w:t>
      </w:r>
      <w:r w:rsidR="00E72D2C">
        <w:rPr>
          <w:rFonts w:ascii="Arial" w:hAnsi="Arial" w:cs="Arial"/>
          <w:sz w:val="22"/>
          <w:szCs w:val="20"/>
        </w:rPr>
        <w:t xml:space="preserve">can be </w:t>
      </w:r>
      <w:r w:rsidR="00FD7DBE">
        <w:rPr>
          <w:rFonts w:ascii="Arial" w:hAnsi="Arial" w:cs="Arial"/>
          <w:sz w:val="22"/>
          <w:szCs w:val="20"/>
        </w:rPr>
        <w:t>decoupled from the inference configuration (e.g., option A)</w:t>
      </w:r>
      <w:r w:rsidR="00AB46DB">
        <w:rPr>
          <w:rFonts w:ascii="Arial" w:hAnsi="Arial" w:cs="Arial"/>
          <w:sz w:val="22"/>
          <w:szCs w:val="20"/>
        </w:rPr>
        <w:t>, as different functionalities</w:t>
      </w:r>
      <w:r w:rsidR="00C178B0">
        <w:rPr>
          <w:rFonts w:ascii="Arial" w:hAnsi="Arial" w:cs="Arial"/>
          <w:sz w:val="22"/>
          <w:szCs w:val="20"/>
        </w:rPr>
        <w:t xml:space="preserve"> may</w:t>
      </w:r>
      <w:r w:rsidR="00AB46DB">
        <w:rPr>
          <w:rFonts w:ascii="Arial" w:hAnsi="Arial" w:cs="Arial"/>
          <w:sz w:val="22"/>
          <w:szCs w:val="20"/>
        </w:rPr>
        <w:t xml:space="preserve"> utilize different framework (e.g., CSI framework, </w:t>
      </w:r>
      <w:r w:rsidR="00C178B0">
        <w:rPr>
          <w:rFonts w:ascii="Arial" w:hAnsi="Arial" w:cs="Arial"/>
          <w:sz w:val="22"/>
          <w:szCs w:val="20"/>
        </w:rPr>
        <w:t>L3 measurement framework</w:t>
      </w:r>
      <w:r w:rsidR="00AB46DB">
        <w:rPr>
          <w:rFonts w:ascii="Arial" w:hAnsi="Arial" w:cs="Arial"/>
          <w:sz w:val="22"/>
          <w:szCs w:val="20"/>
        </w:rPr>
        <w:t>)</w:t>
      </w:r>
      <w:r w:rsidR="00C178B0">
        <w:rPr>
          <w:rFonts w:ascii="Arial" w:hAnsi="Arial" w:cs="Arial"/>
          <w:sz w:val="22"/>
          <w:szCs w:val="20"/>
        </w:rPr>
        <w:t xml:space="preserve"> for inference</w:t>
      </w:r>
      <w:r w:rsidR="00FD7DBE">
        <w:rPr>
          <w:rFonts w:ascii="Arial" w:hAnsi="Arial" w:cs="Arial"/>
          <w:sz w:val="22"/>
          <w:szCs w:val="20"/>
        </w:rPr>
        <w:t>.</w:t>
      </w:r>
      <w:r w:rsidR="00C178B0">
        <w:rPr>
          <w:rFonts w:ascii="Arial" w:hAnsi="Arial" w:cs="Arial"/>
          <w:sz w:val="22"/>
          <w:szCs w:val="20"/>
        </w:rPr>
        <w:t xml:space="preserve"> </w:t>
      </w:r>
      <w:r w:rsidR="006E32A0">
        <w:rPr>
          <w:rFonts w:ascii="Arial" w:hAnsi="Arial" w:cs="Arial"/>
          <w:sz w:val="22"/>
          <w:szCs w:val="20"/>
        </w:rPr>
        <w:t>We suggest to report the applicability/inapplicability based on otherConfig</w:t>
      </w:r>
      <w:r w:rsidR="00986B47">
        <w:rPr>
          <w:rFonts w:ascii="Arial" w:hAnsi="Arial" w:cs="Arial"/>
          <w:sz w:val="22"/>
          <w:szCs w:val="20"/>
        </w:rPr>
        <w:t xml:space="preserve"> (instead of inference configuration/framework)</w:t>
      </w:r>
      <w:r w:rsidR="006E32A0">
        <w:rPr>
          <w:rFonts w:ascii="Arial" w:hAnsi="Arial" w:cs="Arial"/>
          <w:sz w:val="22"/>
          <w:szCs w:val="20"/>
        </w:rPr>
        <w:t>.</w:t>
      </w:r>
      <w:r w:rsidR="00184847">
        <w:rPr>
          <w:rFonts w:ascii="Arial" w:hAnsi="Arial" w:cs="Arial"/>
          <w:sz w:val="22"/>
          <w:szCs w:val="20"/>
        </w:rPr>
        <w:t xml:space="preserve"> </w:t>
      </w:r>
      <w:r w:rsidR="00336873">
        <w:rPr>
          <w:rFonts w:ascii="Arial" w:hAnsi="Arial" w:cs="Arial"/>
          <w:sz w:val="22"/>
          <w:szCs w:val="20"/>
        </w:rPr>
        <w:t>For example, an ID may be used to indicate a subset of the full inference configuration related to AI/ML (e.g., configuration for option B)</w:t>
      </w:r>
      <w:r w:rsidR="000E678E">
        <w:rPr>
          <w:rFonts w:ascii="Arial" w:hAnsi="Arial" w:cs="Arial"/>
          <w:sz w:val="22"/>
          <w:szCs w:val="20"/>
        </w:rPr>
        <w:t xml:space="preserve">. The ID may be included in the </w:t>
      </w:r>
      <w:r w:rsidR="00D65DEE">
        <w:rPr>
          <w:rFonts w:ascii="Arial" w:hAnsi="Arial" w:cs="Arial"/>
          <w:sz w:val="22"/>
          <w:szCs w:val="20"/>
        </w:rPr>
        <w:t xml:space="preserve">full </w:t>
      </w:r>
      <w:r w:rsidR="000E678E">
        <w:rPr>
          <w:rFonts w:ascii="Arial" w:hAnsi="Arial" w:cs="Arial"/>
          <w:sz w:val="22"/>
          <w:szCs w:val="20"/>
        </w:rPr>
        <w:t>inference configuration</w:t>
      </w:r>
      <w:r w:rsidR="00D65DEE">
        <w:rPr>
          <w:rFonts w:ascii="Arial" w:hAnsi="Arial" w:cs="Arial"/>
          <w:sz w:val="22"/>
          <w:szCs w:val="20"/>
        </w:rPr>
        <w:t xml:space="preserve">. The ID is used to report the applicability/inapplicability </w:t>
      </w:r>
      <w:r w:rsidR="00184847">
        <w:rPr>
          <w:rFonts w:ascii="Arial" w:hAnsi="Arial" w:cs="Arial"/>
          <w:sz w:val="22"/>
          <w:szCs w:val="20"/>
        </w:rPr>
        <w:t>of configurations.</w:t>
      </w:r>
    </w:p>
    <w:p w14:paraId="12A3693A" w14:textId="77777777" w:rsidR="00184847" w:rsidRDefault="00184847" w:rsidP="00CF3EEE">
      <w:pPr>
        <w:contextualSpacing/>
        <w:rPr>
          <w:rFonts w:ascii="Arial" w:hAnsi="Arial" w:cs="Arial"/>
          <w:sz w:val="22"/>
          <w:szCs w:val="20"/>
        </w:rPr>
      </w:pPr>
    </w:p>
    <w:p w14:paraId="3E68FC52" w14:textId="2A63086C" w:rsidR="00184847" w:rsidRPr="00B8383B" w:rsidRDefault="00184847" w:rsidP="00CF3EEE">
      <w:pPr>
        <w:contextualSpacing/>
        <w:rPr>
          <w:rFonts w:ascii="Arial" w:hAnsi="Arial" w:cs="Arial"/>
          <w:b/>
          <w:bCs/>
          <w:sz w:val="22"/>
          <w:szCs w:val="20"/>
        </w:rPr>
      </w:pPr>
      <w:r w:rsidRPr="00B8383B">
        <w:rPr>
          <w:rFonts w:ascii="Arial" w:hAnsi="Arial" w:cs="Arial" w:hint="eastAsia"/>
          <w:b/>
          <w:bCs/>
          <w:sz w:val="22"/>
          <w:szCs w:val="20"/>
        </w:rPr>
        <w:t>P</w:t>
      </w:r>
      <w:r w:rsidRPr="00B8383B">
        <w:rPr>
          <w:rFonts w:ascii="Arial" w:hAnsi="Arial" w:cs="Arial"/>
          <w:b/>
          <w:bCs/>
          <w:sz w:val="22"/>
          <w:szCs w:val="20"/>
        </w:rPr>
        <w:t xml:space="preserve">roposal 4: The </w:t>
      </w:r>
      <w:r w:rsidR="00986B47" w:rsidRPr="00B8383B">
        <w:rPr>
          <w:rFonts w:ascii="Arial" w:hAnsi="Arial" w:cs="Arial"/>
          <w:b/>
          <w:bCs/>
          <w:sz w:val="22"/>
          <w:szCs w:val="20"/>
        </w:rPr>
        <w:t xml:space="preserve">reporting of </w:t>
      </w:r>
      <w:r w:rsidRPr="00B8383B">
        <w:rPr>
          <w:rFonts w:ascii="Arial" w:hAnsi="Arial" w:cs="Arial"/>
          <w:b/>
          <w:bCs/>
          <w:sz w:val="22"/>
          <w:szCs w:val="20"/>
        </w:rPr>
        <w:t xml:space="preserve">applicability/inapplicability is based </w:t>
      </w:r>
      <w:r w:rsidR="00986B47" w:rsidRPr="00B8383B">
        <w:rPr>
          <w:rFonts w:ascii="Arial" w:hAnsi="Arial" w:cs="Arial"/>
          <w:b/>
          <w:bCs/>
          <w:sz w:val="22"/>
          <w:szCs w:val="20"/>
        </w:rPr>
        <w:t>on otherConfig instead of inference configuration/framework.</w:t>
      </w:r>
    </w:p>
    <w:p w14:paraId="5D032C6A" w14:textId="77777777" w:rsidR="009E45E5" w:rsidRDefault="009E45E5" w:rsidP="00CF3EEE">
      <w:pPr>
        <w:contextualSpacing/>
        <w:rPr>
          <w:rFonts w:ascii="Arial" w:hAnsi="Arial" w:cs="Arial"/>
          <w:sz w:val="22"/>
          <w:szCs w:val="20"/>
        </w:rPr>
      </w:pPr>
    </w:p>
    <w:p w14:paraId="6F90B048" w14:textId="44D74090" w:rsidR="009E45E5" w:rsidRDefault="009E45E5" w:rsidP="00CF3EEE">
      <w:pPr>
        <w:contextualSpacing/>
        <w:rPr>
          <w:rFonts w:ascii="Arial" w:hAnsi="Arial" w:cs="Arial"/>
          <w:sz w:val="22"/>
          <w:szCs w:val="20"/>
        </w:rPr>
      </w:pPr>
      <w:r>
        <w:rPr>
          <w:rFonts w:ascii="Arial" w:hAnsi="Arial" w:cs="Arial" w:hint="eastAsia"/>
          <w:sz w:val="22"/>
          <w:szCs w:val="20"/>
        </w:rPr>
        <w:t>T</w:t>
      </w:r>
      <w:r>
        <w:rPr>
          <w:rFonts w:ascii="Arial" w:hAnsi="Arial" w:cs="Arial"/>
          <w:sz w:val="22"/>
          <w:szCs w:val="20"/>
        </w:rPr>
        <w:t>o further simplify the complexity of supporting both option A and B</w:t>
      </w:r>
      <w:r w:rsidR="00E72D2C">
        <w:rPr>
          <w:rFonts w:ascii="Arial" w:hAnsi="Arial" w:cs="Arial"/>
          <w:sz w:val="22"/>
          <w:szCs w:val="20"/>
        </w:rPr>
        <w:t>, we think the two options can be used in different messages and not together</w:t>
      </w:r>
      <w:r w:rsidR="00F206AD">
        <w:rPr>
          <w:rFonts w:ascii="Arial" w:hAnsi="Arial" w:cs="Arial"/>
          <w:sz w:val="22"/>
          <w:szCs w:val="20"/>
        </w:rPr>
        <w:t xml:space="preserve">, reducing the ambiguity of the content of </w:t>
      </w:r>
      <w:r w:rsidR="00F206AD" w:rsidRPr="00B8383B">
        <w:rPr>
          <w:rFonts w:ascii="Arial" w:hAnsi="Arial" w:cs="Arial"/>
          <w:sz w:val="22"/>
          <w:szCs w:val="20"/>
        </w:rPr>
        <w:t>applicability/inapplicability report (e.g., which configurations to report).</w:t>
      </w:r>
    </w:p>
    <w:p w14:paraId="6BDBBB05" w14:textId="77777777" w:rsidR="00B46294" w:rsidRDefault="00B46294" w:rsidP="00CF3EEE">
      <w:pPr>
        <w:contextualSpacing/>
        <w:rPr>
          <w:rFonts w:ascii="Arial" w:hAnsi="Arial" w:cs="Arial"/>
          <w:sz w:val="22"/>
          <w:szCs w:val="20"/>
        </w:rPr>
      </w:pPr>
    </w:p>
    <w:p w14:paraId="44A96A13" w14:textId="73D056FB" w:rsidR="00F206AD" w:rsidRPr="003223A2" w:rsidRDefault="00F206AD" w:rsidP="00F206AD">
      <w:pPr>
        <w:contextualSpacing/>
        <w:rPr>
          <w:rFonts w:ascii="Arial" w:hAnsi="Arial" w:cs="Arial"/>
          <w:b/>
          <w:bCs/>
          <w:sz w:val="22"/>
          <w:szCs w:val="20"/>
        </w:rPr>
      </w:pPr>
      <w:r w:rsidRPr="003223A2">
        <w:rPr>
          <w:rFonts w:ascii="Arial" w:hAnsi="Arial" w:cs="Arial" w:hint="eastAsia"/>
          <w:b/>
          <w:bCs/>
          <w:sz w:val="22"/>
          <w:szCs w:val="20"/>
        </w:rPr>
        <w:t>P</w:t>
      </w:r>
      <w:r w:rsidRPr="003223A2">
        <w:rPr>
          <w:rFonts w:ascii="Arial" w:hAnsi="Arial" w:cs="Arial"/>
          <w:b/>
          <w:bCs/>
          <w:sz w:val="22"/>
          <w:szCs w:val="20"/>
        </w:rPr>
        <w:t xml:space="preserve">roposal </w:t>
      </w:r>
      <w:r>
        <w:rPr>
          <w:rFonts w:ascii="Arial" w:hAnsi="Arial" w:cs="Arial"/>
          <w:b/>
          <w:bCs/>
          <w:sz w:val="22"/>
          <w:szCs w:val="20"/>
        </w:rPr>
        <w:t>5</w:t>
      </w:r>
      <w:r w:rsidRPr="003223A2">
        <w:rPr>
          <w:rFonts w:ascii="Arial" w:hAnsi="Arial" w:cs="Arial"/>
          <w:b/>
          <w:bCs/>
          <w:sz w:val="22"/>
          <w:szCs w:val="20"/>
        </w:rPr>
        <w:t xml:space="preserve">: </w:t>
      </w:r>
      <w:r w:rsidR="009B18F2" w:rsidRPr="009B18F2">
        <w:rPr>
          <w:rFonts w:ascii="Arial" w:hAnsi="Arial" w:cs="Arial"/>
          <w:b/>
          <w:bCs/>
          <w:sz w:val="22"/>
          <w:szCs w:val="20"/>
        </w:rPr>
        <w:t>An RRCReconfiguration</w:t>
      </w:r>
      <w:r w:rsidR="009B18F2">
        <w:rPr>
          <w:rFonts w:ascii="Arial" w:hAnsi="Arial" w:cs="Arial"/>
          <w:b/>
          <w:bCs/>
          <w:sz w:val="22"/>
          <w:szCs w:val="20"/>
        </w:rPr>
        <w:t xml:space="preserve"> message</w:t>
      </w:r>
      <w:r w:rsidR="009B18F2" w:rsidRPr="009B18F2">
        <w:rPr>
          <w:rFonts w:ascii="Arial" w:hAnsi="Arial" w:cs="Arial"/>
          <w:b/>
          <w:bCs/>
          <w:sz w:val="22"/>
          <w:szCs w:val="20"/>
        </w:rPr>
        <w:t xml:space="preserve"> </w:t>
      </w:r>
      <w:r w:rsidR="009B18F2">
        <w:rPr>
          <w:rFonts w:ascii="Arial" w:hAnsi="Arial" w:cs="Arial"/>
          <w:b/>
          <w:bCs/>
          <w:sz w:val="22"/>
          <w:szCs w:val="20"/>
        </w:rPr>
        <w:t xml:space="preserve">is either for </w:t>
      </w:r>
      <w:r w:rsidR="009B18F2" w:rsidRPr="009B18F2">
        <w:rPr>
          <w:rFonts w:ascii="Arial" w:hAnsi="Arial" w:cs="Arial"/>
          <w:b/>
          <w:bCs/>
          <w:sz w:val="22"/>
          <w:szCs w:val="20"/>
        </w:rPr>
        <w:t>option A or option B.</w:t>
      </w:r>
    </w:p>
    <w:p w14:paraId="65713FCC" w14:textId="77777777" w:rsidR="00F206AD" w:rsidRPr="00F206AD" w:rsidRDefault="00F206AD" w:rsidP="00CF3EEE">
      <w:pPr>
        <w:contextualSpacing/>
        <w:rPr>
          <w:rFonts w:ascii="Arial" w:hAnsi="Arial" w:cs="Arial"/>
          <w:sz w:val="22"/>
          <w:szCs w:val="20"/>
        </w:rPr>
      </w:pP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40B0328D" w14:textId="77777777" w:rsidR="00B8383B" w:rsidRDefault="00B8383B" w:rsidP="00B8383B">
      <w:pPr>
        <w:rPr>
          <w:rFonts w:ascii="Arial" w:hAnsi="Arial" w:cs="Arial"/>
          <w:b/>
          <w:bCs/>
          <w:sz w:val="22"/>
          <w:szCs w:val="20"/>
        </w:rPr>
      </w:pPr>
      <w:r w:rsidRPr="00B8383B">
        <w:rPr>
          <w:rFonts w:ascii="Arial" w:hAnsi="Arial" w:cs="Arial" w:hint="eastAsia"/>
          <w:b/>
          <w:bCs/>
          <w:sz w:val="22"/>
          <w:szCs w:val="20"/>
        </w:rPr>
        <w:t>P</w:t>
      </w:r>
      <w:r w:rsidRPr="00B8383B">
        <w:rPr>
          <w:rFonts w:ascii="Arial" w:hAnsi="Arial" w:cs="Arial"/>
          <w:b/>
          <w:bCs/>
          <w:sz w:val="22"/>
          <w:szCs w:val="20"/>
        </w:rPr>
        <w:t>roposal 1: For option A, RAN2 discuss whether the inapplicable configurations provided in step 3 are discarded or kept as deactivated (e.g., for future applicability change or training).</w:t>
      </w:r>
    </w:p>
    <w:p w14:paraId="5129A843" w14:textId="77777777" w:rsidR="00B8383B" w:rsidRDefault="00B8383B" w:rsidP="00B8383B">
      <w:pPr>
        <w:rPr>
          <w:rFonts w:ascii="Arial" w:hAnsi="Arial" w:cs="Arial"/>
          <w:b/>
          <w:bCs/>
          <w:sz w:val="22"/>
          <w:szCs w:val="20"/>
        </w:rPr>
      </w:pPr>
      <w:r w:rsidRPr="003223A2">
        <w:rPr>
          <w:rFonts w:ascii="Arial" w:hAnsi="Arial" w:cs="Arial" w:hint="eastAsia"/>
          <w:b/>
          <w:bCs/>
          <w:sz w:val="22"/>
          <w:szCs w:val="20"/>
        </w:rPr>
        <w:t>P</w:t>
      </w:r>
      <w:r w:rsidRPr="003223A2">
        <w:rPr>
          <w:rFonts w:ascii="Arial" w:hAnsi="Arial" w:cs="Arial"/>
          <w:b/>
          <w:bCs/>
          <w:sz w:val="22"/>
          <w:szCs w:val="20"/>
        </w:rPr>
        <w:t xml:space="preserve">roposal </w:t>
      </w:r>
      <w:r>
        <w:rPr>
          <w:rFonts w:ascii="Arial" w:hAnsi="Arial" w:cs="Arial"/>
          <w:b/>
          <w:bCs/>
          <w:sz w:val="22"/>
          <w:szCs w:val="20"/>
        </w:rPr>
        <w:t>2</w:t>
      </w:r>
      <w:r w:rsidRPr="003223A2">
        <w:rPr>
          <w:rFonts w:ascii="Arial" w:hAnsi="Arial" w:cs="Arial"/>
          <w:b/>
          <w:bCs/>
          <w:sz w:val="22"/>
          <w:szCs w:val="20"/>
        </w:rPr>
        <w:t xml:space="preserve">: For option </w:t>
      </w:r>
      <w:r>
        <w:rPr>
          <w:rFonts w:ascii="Arial" w:hAnsi="Arial" w:cs="Arial"/>
          <w:b/>
          <w:bCs/>
          <w:sz w:val="22"/>
          <w:szCs w:val="20"/>
        </w:rPr>
        <w:t>B</w:t>
      </w:r>
      <w:r w:rsidRPr="003223A2">
        <w:rPr>
          <w:rFonts w:ascii="Arial" w:hAnsi="Arial" w:cs="Arial"/>
          <w:b/>
          <w:bCs/>
          <w:sz w:val="22"/>
          <w:szCs w:val="20"/>
        </w:rPr>
        <w:t xml:space="preserve">, RAN2 discuss </w:t>
      </w:r>
      <w:r>
        <w:rPr>
          <w:rFonts w:ascii="Arial" w:hAnsi="Arial" w:cs="Arial"/>
          <w:b/>
          <w:bCs/>
          <w:sz w:val="22"/>
          <w:szCs w:val="20"/>
        </w:rPr>
        <w:t>what is the content of option B.</w:t>
      </w:r>
    </w:p>
    <w:p w14:paraId="7D4BEC07" w14:textId="77777777" w:rsidR="00B8383B" w:rsidRPr="00A32382" w:rsidRDefault="00B8383B" w:rsidP="00B8383B">
      <w:pPr>
        <w:contextualSpacing/>
        <w:rPr>
          <w:rFonts w:ascii="Arial" w:hAnsi="Arial" w:cs="Arial"/>
          <w:b/>
          <w:bCs/>
          <w:sz w:val="22"/>
          <w:szCs w:val="20"/>
        </w:rPr>
      </w:pPr>
      <w:r w:rsidRPr="003223A2">
        <w:rPr>
          <w:rFonts w:ascii="Arial" w:hAnsi="Arial" w:cs="Arial"/>
          <w:b/>
          <w:bCs/>
          <w:sz w:val="22"/>
          <w:szCs w:val="20"/>
        </w:rPr>
        <w:t xml:space="preserve">Proposal 3: </w:t>
      </w:r>
      <w:r w:rsidRPr="00A32382">
        <w:rPr>
          <w:rFonts w:ascii="Arial" w:hAnsi="Arial" w:cs="Arial" w:hint="eastAsia"/>
          <w:b/>
          <w:bCs/>
          <w:sz w:val="22"/>
          <w:szCs w:val="20"/>
        </w:rPr>
        <w:t>I</w:t>
      </w:r>
      <w:r w:rsidRPr="00A32382">
        <w:rPr>
          <w:rFonts w:ascii="Arial" w:hAnsi="Arial" w:cs="Arial"/>
          <w:b/>
          <w:bCs/>
          <w:sz w:val="22"/>
          <w:szCs w:val="20"/>
        </w:rPr>
        <w:t xml:space="preserve">f option B is </w:t>
      </w:r>
      <w:r w:rsidRPr="003223A2">
        <w:rPr>
          <w:rFonts w:ascii="Arial" w:hAnsi="Arial" w:cs="Arial"/>
          <w:b/>
          <w:bCs/>
          <w:sz w:val="22"/>
          <w:szCs w:val="20"/>
        </w:rPr>
        <w:t>subset of the full inference configuration, whether a configuration for option B is associated with the full inference configuration (e.g., reporting applicable for a configuration for option B equals reporting applicable for the associated full inference configuration).</w:t>
      </w:r>
    </w:p>
    <w:p w14:paraId="2DD5889B" w14:textId="77777777" w:rsidR="00B8383B" w:rsidRPr="003223A2" w:rsidRDefault="00B8383B" w:rsidP="00B8383B">
      <w:pPr>
        <w:contextualSpacing/>
        <w:rPr>
          <w:rFonts w:ascii="Arial" w:hAnsi="Arial" w:cs="Arial"/>
          <w:b/>
          <w:bCs/>
          <w:sz w:val="22"/>
          <w:szCs w:val="20"/>
        </w:rPr>
      </w:pPr>
      <w:r w:rsidRPr="003223A2">
        <w:rPr>
          <w:rFonts w:ascii="Arial" w:hAnsi="Arial" w:cs="Arial" w:hint="eastAsia"/>
          <w:b/>
          <w:bCs/>
          <w:sz w:val="22"/>
          <w:szCs w:val="20"/>
        </w:rPr>
        <w:t>P</w:t>
      </w:r>
      <w:r w:rsidRPr="003223A2">
        <w:rPr>
          <w:rFonts w:ascii="Arial" w:hAnsi="Arial" w:cs="Arial"/>
          <w:b/>
          <w:bCs/>
          <w:sz w:val="22"/>
          <w:szCs w:val="20"/>
        </w:rPr>
        <w:t>roposal 4: The reporting of applicability/inapplicability is based on otherConfig instead of inference configuration/framework.</w:t>
      </w:r>
    </w:p>
    <w:p w14:paraId="5216D657" w14:textId="5230A366" w:rsidR="00B8383B" w:rsidRPr="00B8383B" w:rsidRDefault="00B8383B" w:rsidP="00B8383B">
      <w:pPr>
        <w:contextualSpacing/>
        <w:rPr>
          <w:rFonts w:ascii="Arial" w:hAnsi="Arial" w:cs="Arial"/>
          <w:b/>
          <w:bCs/>
          <w:sz w:val="22"/>
          <w:szCs w:val="20"/>
        </w:rPr>
      </w:pPr>
      <w:r w:rsidRPr="003223A2">
        <w:rPr>
          <w:rFonts w:ascii="Arial" w:hAnsi="Arial" w:cs="Arial" w:hint="eastAsia"/>
          <w:b/>
          <w:bCs/>
          <w:sz w:val="22"/>
          <w:szCs w:val="20"/>
        </w:rPr>
        <w:t>P</w:t>
      </w:r>
      <w:r w:rsidRPr="003223A2">
        <w:rPr>
          <w:rFonts w:ascii="Arial" w:hAnsi="Arial" w:cs="Arial"/>
          <w:b/>
          <w:bCs/>
          <w:sz w:val="22"/>
          <w:szCs w:val="20"/>
        </w:rPr>
        <w:t xml:space="preserve">roposal </w:t>
      </w:r>
      <w:r>
        <w:rPr>
          <w:rFonts w:ascii="Arial" w:hAnsi="Arial" w:cs="Arial"/>
          <w:b/>
          <w:bCs/>
          <w:sz w:val="22"/>
          <w:szCs w:val="20"/>
        </w:rPr>
        <w:t>5</w:t>
      </w:r>
      <w:r w:rsidRPr="003223A2">
        <w:rPr>
          <w:rFonts w:ascii="Arial" w:hAnsi="Arial" w:cs="Arial"/>
          <w:b/>
          <w:bCs/>
          <w:sz w:val="22"/>
          <w:szCs w:val="20"/>
        </w:rPr>
        <w:t xml:space="preserve">: </w:t>
      </w:r>
      <w:r w:rsidRPr="009B18F2">
        <w:rPr>
          <w:rFonts w:ascii="Arial" w:hAnsi="Arial" w:cs="Arial"/>
          <w:b/>
          <w:bCs/>
          <w:sz w:val="22"/>
          <w:szCs w:val="20"/>
        </w:rPr>
        <w:t>An RRCReconfiguration</w:t>
      </w:r>
      <w:r>
        <w:rPr>
          <w:rFonts w:ascii="Arial" w:hAnsi="Arial" w:cs="Arial"/>
          <w:b/>
          <w:bCs/>
          <w:sz w:val="22"/>
          <w:szCs w:val="20"/>
        </w:rPr>
        <w:t xml:space="preserve"> message</w:t>
      </w:r>
      <w:r w:rsidRPr="009B18F2">
        <w:rPr>
          <w:rFonts w:ascii="Arial" w:hAnsi="Arial" w:cs="Arial"/>
          <w:b/>
          <w:bCs/>
          <w:sz w:val="22"/>
          <w:szCs w:val="20"/>
        </w:rPr>
        <w:t xml:space="preserve"> </w:t>
      </w:r>
      <w:r>
        <w:rPr>
          <w:rFonts w:ascii="Arial" w:hAnsi="Arial" w:cs="Arial"/>
          <w:b/>
          <w:bCs/>
          <w:sz w:val="22"/>
          <w:szCs w:val="20"/>
        </w:rPr>
        <w:t xml:space="preserve">is either for </w:t>
      </w:r>
      <w:r w:rsidRPr="009B18F2">
        <w:rPr>
          <w:rFonts w:ascii="Arial" w:hAnsi="Arial" w:cs="Arial"/>
          <w:b/>
          <w:bCs/>
          <w:sz w:val="22"/>
          <w:szCs w:val="20"/>
        </w:rPr>
        <w:t>option A or option B.</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3AD32B7C"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 RP-240774, “Revised WID on Artificial Intelligence (AI)/Machine Learning (ML) for NR Air Interface”</w:t>
      </w:r>
    </w:p>
    <w:p w14:paraId="41079320" w14:textId="7AF8B661" w:rsidR="006F7258"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[2] </w:t>
      </w:r>
      <w:r w:rsidR="00B322CE" w:rsidRPr="00AA774F">
        <w:rPr>
          <w:rFonts w:ascii="Arial" w:hAnsi="Arial" w:cs="Arial"/>
          <w:sz w:val="22"/>
          <w:szCs w:val="24"/>
        </w:rPr>
        <w:t>R1-2410898 Reply LS on applicable functionality reporting for beam management UE-sided model</w:t>
      </w:r>
      <w:r w:rsidR="007D1228" w:rsidRPr="00AA774F">
        <w:rPr>
          <w:rFonts w:ascii="Arial" w:hAnsi="Arial" w:cs="Arial"/>
          <w:sz w:val="22"/>
          <w:szCs w:val="24"/>
        </w:rPr>
        <w:t xml:space="preserve"> </w:t>
      </w:r>
    </w:p>
    <w:p w14:paraId="47F0F4C3" w14:textId="50979E01" w:rsidR="00AF7F5E" w:rsidRPr="00AF7F5E" w:rsidRDefault="00AF7F5E" w:rsidP="00410876">
      <w:pPr>
        <w:spacing w:afterLines="50" w:after="180" w:line="280" w:lineRule="exact"/>
        <w:jc w:val="both"/>
        <w:rPr>
          <w:rFonts w:ascii="Arial" w:hAnsi="Arial" w:cs="Arial"/>
          <w:sz w:val="22"/>
          <w:szCs w:val="24"/>
        </w:rPr>
      </w:pPr>
      <w:r>
        <w:rPr>
          <w:rFonts w:ascii="Arial" w:hAnsi="Arial" w:cs="Arial"/>
          <w:sz w:val="22"/>
          <w:szCs w:val="24"/>
        </w:rPr>
        <w:t xml:space="preserve">[3] </w:t>
      </w:r>
      <w:r>
        <w:rPr>
          <w:rFonts w:ascii="Arial" w:hAnsi="Arial" w:cs="Arial" w:hint="eastAsia"/>
          <w:sz w:val="22"/>
          <w:szCs w:val="24"/>
        </w:rPr>
        <w:t>C</w:t>
      </w:r>
      <w:r>
        <w:rPr>
          <w:rFonts w:ascii="Arial" w:hAnsi="Arial" w:cs="Arial"/>
          <w:sz w:val="22"/>
          <w:szCs w:val="24"/>
        </w:rPr>
        <w:t>hair Notes for RAN2 #129</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AD81" w14:textId="77777777" w:rsidR="003A0378" w:rsidRDefault="003A0378" w:rsidP="00CF3EEE">
      <w:r>
        <w:separator/>
      </w:r>
    </w:p>
  </w:endnote>
  <w:endnote w:type="continuationSeparator" w:id="0">
    <w:p w14:paraId="65AB3632" w14:textId="77777777" w:rsidR="003A0378" w:rsidRDefault="003A0378"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BB43" w14:textId="77777777" w:rsidR="003A0378" w:rsidRDefault="003A0378" w:rsidP="00CF3EEE">
      <w:r>
        <w:separator/>
      </w:r>
    </w:p>
  </w:footnote>
  <w:footnote w:type="continuationSeparator" w:id="0">
    <w:p w14:paraId="790E064E" w14:textId="77777777" w:rsidR="003A0378" w:rsidRDefault="003A0378"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2157A"/>
    <w:rsid w:val="000302A5"/>
    <w:rsid w:val="00031133"/>
    <w:rsid w:val="000374A3"/>
    <w:rsid w:val="000405C6"/>
    <w:rsid w:val="0004242D"/>
    <w:rsid w:val="00051034"/>
    <w:rsid w:val="000550A7"/>
    <w:rsid w:val="000573AF"/>
    <w:rsid w:val="00064DAB"/>
    <w:rsid w:val="00066E10"/>
    <w:rsid w:val="00066E87"/>
    <w:rsid w:val="00067AB9"/>
    <w:rsid w:val="00087E66"/>
    <w:rsid w:val="0009146A"/>
    <w:rsid w:val="000A51D6"/>
    <w:rsid w:val="000A5FDA"/>
    <w:rsid w:val="000B59ED"/>
    <w:rsid w:val="000B7770"/>
    <w:rsid w:val="000C37C2"/>
    <w:rsid w:val="000C58E9"/>
    <w:rsid w:val="000D165D"/>
    <w:rsid w:val="000D48DE"/>
    <w:rsid w:val="000D6D30"/>
    <w:rsid w:val="000D7753"/>
    <w:rsid w:val="000E0903"/>
    <w:rsid w:val="000E678E"/>
    <w:rsid w:val="000F42F7"/>
    <w:rsid w:val="000F7311"/>
    <w:rsid w:val="001115D3"/>
    <w:rsid w:val="00112013"/>
    <w:rsid w:val="001138F0"/>
    <w:rsid w:val="00113F98"/>
    <w:rsid w:val="00116396"/>
    <w:rsid w:val="001257EC"/>
    <w:rsid w:val="00125A3D"/>
    <w:rsid w:val="00131480"/>
    <w:rsid w:val="001338D3"/>
    <w:rsid w:val="001405F6"/>
    <w:rsid w:val="00143B92"/>
    <w:rsid w:val="001522DD"/>
    <w:rsid w:val="001539B2"/>
    <w:rsid w:val="0015592C"/>
    <w:rsid w:val="00160CC0"/>
    <w:rsid w:val="00161EE9"/>
    <w:rsid w:val="00164DBC"/>
    <w:rsid w:val="00166862"/>
    <w:rsid w:val="001679D1"/>
    <w:rsid w:val="00167CFA"/>
    <w:rsid w:val="001711CD"/>
    <w:rsid w:val="00183D6E"/>
    <w:rsid w:val="00184847"/>
    <w:rsid w:val="001932BC"/>
    <w:rsid w:val="001A0052"/>
    <w:rsid w:val="001A0C85"/>
    <w:rsid w:val="001A6E33"/>
    <w:rsid w:val="001B63D3"/>
    <w:rsid w:val="001B763F"/>
    <w:rsid w:val="001B7E1C"/>
    <w:rsid w:val="001C510F"/>
    <w:rsid w:val="001C7A9A"/>
    <w:rsid w:val="001D1111"/>
    <w:rsid w:val="001D20C6"/>
    <w:rsid w:val="001D26E3"/>
    <w:rsid w:val="001D298F"/>
    <w:rsid w:val="001D35F4"/>
    <w:rsid w:val="001D49CF"/>
    <w:rsid w:val="001D6282"/>
    <w:rsid w:val="001E7731"/>
    <w:rsid w:val="001F2EF7"/>
    <w:rsid w:val="001F3FEF"/>
    <w:rsid w:val="001F78A3"/>
    <w:rsid w:val="002277B1"/>
    <w:rsid w:val="00235A30"/>
    <w:rsid w:val="00236978"/>
    <w:rsid w:val="00237D97"/>
    <w:rsid w:val="0024200B"/>
    <w:rsid w:val="00252B7A"/>
    <w:rsid w:val="00254D09"/>
    <w:rsid w:val="00263CBF"/>
    <w:rsid w:val="00265352"/>
    <w:rsid w:val="00267779"/>
    <w:rsid w:val="002710DF"/>
    <w:rsid w:val="0027431E"/>
    <w:rsid w:val="00280B3E"/>
    <w:rsid w:val="002906A4"/>
    <w:rsid w:val="002B439B"/>
    <w:rsid w:val="002B608F"/>
    <w:rsid w:val="002C278F"/>
    <w:rsid w:val="002C29FF"/>
    <w:rsid w:val="002C40A0"/>
    <w:rsid w:val="002C4470"/>
    <w:rsid w:val="002C593B"/>
    <w:rsid w:val="002D1BFD"/>
    <w:rsid w:val="002D2DA6"/>
    <w:rsid w:val="002D5124"/>
    <w:rsid w:val="002D5D44"/>
    <w:rsid w:val="002E4BC5"/>
    <w:rsid w:val="002E61D5"/>
    <w:rsid w:val="002F24CE"/>
    <w:rsid w:val="002F6B3F"/>
    <w:rsid w:val="002F7EB0"/>
    <w:rsid w:val="0030414C"/>
    <w:rsid w:val="003125F3"/>
    <w:rsid w:val="003164AA"/>
    <w:rsid w:val="00322E0C"/>
    <w:rsid w:val="003311D0"/>
    <w:rsid w:val="00336873"/>
    <w:rsid w:val="003427B6"/>
    <w:rsid w:val="00345198"/>
    <w:rsid w:val="00355083"/>
    <w:rsid w:val="003734BC"/>
    <w:rsid w:val="00374256"/>
    <w:rsid w:val="003752D9"/>
    <w:rsid w:val="00377DED"/>
    <w:rsid w:val="003803BF"/>
    <w:rsid w:val="0038282C"/>
    <w:rsid w:val="00385501"/>
    <w:rsid w:val="00385EA2"/>
    <w:rsid w:val="00391005"/>
    <w:rsid w:val="003961B5"/>
    <w:rsid w:val="003A0378"/>
    <w:rsid w:val="003A08B1"/>
    <w:rsid w:val="003A4BD9"/>
    <w:rsid w:val="003B2071"/>
    <w:rsid w:val="003B452B"/>
    <w:rsid w:val="003B455D"/>
    <w:rsid w:val="003B7668"/>
    <w:rsid w:val="003C1B3E"/>
    <w:rsid w:val="003C75BC"/>
    <w:rsid w:val="003E1210"/>
    <w:rsid w:val="003E5AFF"/>
    <w:rsid w:val="003E77BC"/>
    <w:rsid w:val="003E7897"/>
    <w:rsid w:val="003F383A"/>
    <w:rsid w:val="003F7825"/>
    <w:rsid w:val="00400E04"/>
    <w:rsid w:val="004016AC"/>
    <w:rsid w:val="00410876"/>
    <w:rsid w:val="004125D2"/>
    <w:rsid w:val="004165D3"/>
    <w:rsid w:val="00420123"/>
    <w:rsid w:val="00427D92"/>
    <w:rsid w:val="00432C89"/>
    <w:rsid w:val="00435206"/>
    <w:rsid w:val="00445E82"/>
    <w:rsid w:val="00447B40"/>
    <w:rsid w:val="00451E51"/>
    <w:rsid w:val="004576DA"/>
    <w:rsid w:val="004609BD"/>
    <w:rsid w:val="00461F99"/>
    <w:rsid w:val="00463768"/>
    <w:rsid w:val="004729F7"/>
    <w:rsid w:val="00477DFB"/>
    <w:rsid w:val="00485D19"/>
    <w:rsid w:val="00491EAA"/>
    <w:rsid w:val="00495801"/>
    <w:rsid w:val="00496F25"/>
    <w:rsid w:val="004B29F2"/>
    <w:rsid w:val="004B4E71"/>
    <w:rsid w:val="004C3DC8"/>
    <w:rsid w:val="004C4BD9"/>
    <w:rsid w:val="004D024E"/>
    <w:rsid w:val="004E6FB8"/>
    <w:rsid w:val="004F0D87"/>
    <w:rsid w:val="004F164F"/>
    <w:rsid w:val="004F17D1"/>
    <w:rsid w:val="004F2C90"/>
    <w:rsid w:val="004F4B5A"/>
    <w:rsid w:val="004F54A1"/>
    <w:rsid w:val="00500444"/>
    <w:rsid w:val="00505470"/>
    <w:rsid w:val="00505AFA"/>
    <w:rsid w:val="0050602F"/>
    <w:rsid w:val="005065DC"/>
    <w:rsid w:val="00506CE8"/>
    <w:rsid w:val="005114CF"/>
    <w:rsid w:val="00511726"/>
    <w:rsid w:val="00515B85"/>
    <w:rsid w:val="00516B86"/>
    <w:rsid w:val="00523FF6"/>
    <w:rsid w:val="0053037F"/>
    <w:rsid w:val="00533BF7"/>
    <w:rsid w:val="00545DC4"/>
    <w:rsid w:val="00546DED"/>
    <w:rsid w:val="00547598"/>
    <w:rsid w:val="00547EED"/>
    <w:rsid w:val="0055313B"/>
    <w:rsid w:val="0055582E"/>
    <w:rsid w:val="005564B6"/>
    <w:rsid w:val="00560ED0"/>
    <w:rsid w:val="00562735"/>
    <w:rsid w:val="005641B1"/>
    <w:rsid w:val="00564842"/>
    <w:rsid w:val="00590600"/>
    <w:rsid w:val="005929AB"/>
    <w:rsid w:val="005958DF"/>
    <w:rsid w:val="005A255D"/>
    <w:rsid w:val="005A3C7C"/>
    <w:rsid w:val="005B115C"/>
    <w:rsid w:val="005B1DEC"/>
    <w:rsid w:val="005B34CD"/>
    <w:rsid w:val="005D2B39"/>
    <w:rsid w:val="005D6740"/>
    <w:rsid w:val="005D7A4E"/>
    <w:rsid w:val="005E48AB"/>
    <w:rsid w:val="005E59B5"/>
    <w:rsid w:val="005E6964"/>
    <w:rsid w:val="005F25DD"/>
    <w:rsid w:val="005F58E5"/>
    <w:rsid w:val="005F5CA3"/>
    <w:rsid w:val="005F6D8C"/>
    <w:rsid w:val="0060098D"/>
    <w:rsid w:val="006021F2"/>
    <w:rsid w:val="00603A4B"/>
    <w:rsid w:val="00610D96"/>
    <w:rsid w:val="00614F89"/>
    <w:rsid w:val="00615AF4"/>
    <w:rsid w:val="00620A24"/>
    <w:rsid w:val="0062292F"/>
    <w:rsid w:val="00631544"/>
    <w:rsid w:val="006413A5"/>
    <w:rsid w:val="006440C8"/>
    <w:rsid w:val="00646CA8"/>
    <w:rsid w:val="0064722F"/>
    <w:rsid w:val="006646B4"/>
    <w:rsid w:val="00664C88"/>
    <w:rsid w:val="0067032B"/>
    <w:rsid w:val="00670486"/>
    <w:rsid w:val="006733E3"/>
    <w:rsid w:val="006832AB"/>
    <w:rsid w:val="00691D03"/>
    <w:rsid w:val="006945D6"/>
    <w:rsid w:val="006A1554"/>
    <w:rsid w:val="006A2559"/>
    <w:rsid w:val="006A7ED7"/>
    <w:rsid w:val="006B092E"/>
    <w:rsid w:val="006B267C"/>
    <w:rsid w:val="006C6D02"/>
    <w:rsid w:val="006D29CB"/>
    <w:rsid w:val="006D50E3"/>
    <w:rsid w:val="006E32A0"/>
    <w:rsid w:val="006F5E6F"/>
    <w:rsid w:val="006F7252"/>
    <w:rsid w:val="006F7258"/>
    <w:rsid w:val="007006A6"/>
    <w:rsid w:val="0070394F"/>
    <w:rsid w:val="007046C6"/>
    <w:rsid w:val="00704B9A"/>
    <w:rsid w:val="00711425"/>
    <w:rsid w:val="00711C49"/>
    <w:rsid w:val="00716BA9"/>
    <w:rsid w:val="007257FD"/>
    <w:rsid w:val="0072666C"/>
    <w:rsid w:val="00730BAC"/>
    <w:rsid w:val="00731312"/>
    <w:rsid w:val="00731FA6"/>
    <w:rsid w:val="00742FBF"/>
    <w:rsid w:val="007464CD"/>
    <w:rsid w:val="0075134F"/>
    <w:rsid w:val="00751CC7"/>
    <w:rsid w:val="007541FE"/>
    <w:rsid w:val="0075607C"/>
    <w:rsid w:val="007570D3"/>
    <w:rsid w:val="00763385"/>
    <w:rsid w:val="0076622C"/>
    <w:rsid w:val="00770B09"/>
    <w:rsid w:val="007711C4"/>
    <w:rsid w:val="00772362"/>
    <w:rsid w:val="007723C0"/>
    <w:rsid w:val="00772FA6"/>
    <w:rsid w:val="00781E72"/>
    <w:rsid w:val="00782645"/>
    <w:rsid w:val="00790156"/>
    <w:rsid w:val="00790353"/>
    <w:rsid w:val="007978E9"/>
    <w:rsid w:val="007A1CAF"/>
    <w:rsid w:val="007A47DC"/>
    <w:rsid w:val="007B118B"/>
    <w:rsid w:val="007B322A"/>
    <w:rsid w:val="007C2111"/>
    <w:rsid w:val="007C3B8A"/>
    <w:rsid w:val="007C3DFB"/>
    <w:rsid w:val="007D1228"/>
    <w:rsid w:val="007F132B"/>
    <w:rsid w:val="007F18F4"/>
    <w:rsid w:val="007F1FC4"/>
    <w:rsid w:val="0080745A"/>
    <w:rsid w:val="00811A48"/>
    <w:rsid w:val="00814EAE"/>
    <w:rsid w:val="00823F49"/>
    <w:rsid w:val="00826EE9"/>
    <w:rsid w:val="00840254"/>
    <w:rsid w:val="00845823"/>
    <w:rsid w:val="00850E0B"/>
    <w:rsid w:val="008550CD"/>
    <w:rsid w:val="00861141"/>
    <w:rsid w:val="00861DF8"/>
    <w:rsid w:val="00863880"/>
    <w:rsid w:val="008657C2"/>
    <w:rsid w:val="00866D53"/>
    <w:rsid w:val="008721DA"/>
    <w:rsid w:val="0088076F"/>
    <w:rsid w:val="00884828"/>
    <w:rsid w:val="008A0062"/>
    <w:rsid w:val="008A44A9"/>
    <w:rsid w:val="008A649D"/>
    <w:rsid w:val="008B1ACF"/>
    <w:rsid w:val="008B5672"/>
    <w:rsid w:val="008B5E0A"/>
    <w:rsid w:val="008B688C"/>
    <w:rsid w:val="008C1D31"/>
    <w:rsid w:val="008C41C4"/>
    <w:rsid w:val="008C5613"/>
    <w:rsid w:val="008D694D"/>
    <w:rsid w:val="008E12D7"/>
    <w:rsid w:val="008E7605"/>
    <w:rsid w:val="008F2E97"/>
    <w:rsid w:val="008F5B25"/>
    <w:rsid w:val="008F6D1A"/>
    <w:rsid w:val="00911D2E"/>
    <w:rsid w:val="00913E0C"/>
    <w:rsid w:val="00920873"/>
    <w:rsid w:val="009214D7"/>
    <w:rsid w:val="0092310F"/>
    <w:rsid w:val="00926E8F"/>
    <w:rsid w:val="00933518"/>
    <w:rsid w:val="00941590"/>
    <w:rsid w:val="00955620"/>
    <w:rsid w:val="009577E2"/>
    <w:rsid w:val="009649EC"/>
    <w:rsid w:val="009728EC"/>
    <w:rsid w:val="00973003"/>
    <w:rsid w:val="00980DD0"/>
    <w:rsid w:val="00981160"/>
    <w:rsid w:val="00981647"/>
    <w:rsid w:val="009838AA"/>
    <w:rsid w:val="009843C6"/>
    <w:rsid w:val="00986B47"/>
    <w:rsid w:val="00991627"/>
    <w:rsid w:val="00991D94"/>
    <w:rsid w:val="009944B0"/>
    <w:rsid w:val="0099793E"/>
    <w:rsid w:val="009B18F2"/>
    <w:rsid w:val="009B3013"/>
    <w:rsid w:val="009B37CA"/>
    <w:rsid w:val="009B3A2A"/>
    <w:rsid w:val="009B43E3"/>
    <w:rsid w:val="009B4E84"/>
    <w:rsid w:val="009C1B7F"/>
    <w:rsid w:val="009C2574"/>
    <w:rsid w:val="009E45E5"/>
    <w:rsid w:val="009F25AD"/>
    <w:rsid w:val="009F394D"/>
    <w:rsid w:val="009F401F"/>
    <w:rsid w:val="009F7D1A"/>
    <w:rsid w:val="00A05708"/>
    <w:rsid w:val="00A117F5"/>
    <w:rsid w:val="00A32382"/>
    <w:rsid w:val="00A34FFF"/>
    <w:rsid w:val="00A35F9D"/>
    <w:rsid w:val="00A42D65"/>
    <w:rsid w:val="00A44BD2"/>
    <w:rsid w:val="00A4543F"/>
    <w:rsid w:val="00A4565A"/>
    <w:rsid w:val="00A45A41"/>
    <w:rsid w:val="00A466C5"/>
    <w:rsid w:val="00A46EB1"/>
    <w:rsid w:val="00A50F8F"/>
    <w:rsid w:val="00A5534F"/>
    <w:rsid w:val="00A575D9"/>
    <w:rsid w:val="00A613E5"/>
    <w:rsid w:val="00A6178B"/>
    <w:rsid w:val="00A617E5"/>
    <w:rsid w:val="00A63F03"/>
    <w:rsid w:val="00A66684"/>
    <w:rsid w:val="00A67406"/>
    <w:rsid w:val="00A828DB"/>
    <w:rsid w:val="00A8721F"/>
    <w:rsid w:val="00A906C8"/>
    <w:rsid w:val="00A92A60"/>
    <w:rsid w:val="00A92BA1"/>
    <w:rsid w:val="00A93CC6"/>
    <w:rsid w:val="00A95E49"/>
    <w:rsid w:val="00AA041A"/>
    <w:rsid w:val="00AA0782"/>
    <w:rsid w:val="00AA774F"/>
    <w:rsid w:val="00AB258F"/>
    <w:rsid w:val="00AB46DB"/>
    <w:rsid w:val="00AC30D7"/>
    <w:rsid w:val="00AC3469"/>
    <w:rsid w:val="00AC479E"/>
    <w:rsid w:val="00AC7973"/>
    <w:rsid w:val="00AD48D2"/>
    <w:rsid w:val="00AE0059"/>
    <w:rsid w:val="00AE5713"/>
    <w:rsid w:val="00AE5EF1"/>
    <w:rsid w:val="00AF1C66"/>
    <w:rsid w:val="00AF3106"/>
    <w:rsid w:val="00AF4504"/>
    <w:rsid w:val="00AF6827"/>
    <w:rsid w:val="00AF7F5E"/>
    <w:rsid w:val="00B002BB"/>
    <w:rsid w:val="00B00CC8"/>
    <w:rsid w:val="00B05572"/>
    <w:rsid w:val="00B079FE"/>
    <w:rsid w:val="00B1336B"/>
    <w:rsid w:val="00B14C5E"/>
    <w:rsid w:val="00B20C9B"/>
    <w:rsid w:val="00B24462"/>
    <w:rsid w:val="00B24621"/>
    <w:rsid w:val="00B26412"/>
    <w:rsid w:val="00B31B53"/>
    <w:rsid w:val="00B322CE"/>
    <w:rsid w:val="00B33A0D"/>
    <w:rsid w:val="00B446F0"/>
    <w:rsid w:val="00B44C8D"/>
    <w:rsid w:val="00B45747"/>
    <w:rsid w:val="00B45AE9"/>
    <w:rsid w:val="00B46294"/>
    <w:rsid w:val="00B50D71"/>
    <w:rsid w:val="00B50E59"/>
    <w:rsid w:val="00B5596D"/>
    <w:rsid w:val="00B5691A"/>
    <w:rsid w:val="00B60ACE"/>
    <w:rsid w:val="00B61503"/>
    <w:rsid w:val="00B642C7"/>
    <w:rsid w:val="00B80380"/>
    <w:rsid w:val="00B8383B"/>
    <w:rsid w:val="00B87B5E"/>
    <w:rsid w:val="00B922A6"/>
    <w:rsid w:val="00BA3B89"/>
    <w:rsid w:val="00BB6B1F"/>
    <w:rsid w:val="00BC1F4E"/>
    <w:rsid w:val="00BC2FBE"/>
    <w:rsid w:val="00BC57C6"/>
    <w:rsid w:val="00BC6CA7"/>
    <w:rsid w:val="00BD33D8"/>
    <w:rsid w:val="00BD4C12"/>
    <w:rsid w:val="00BD7472"/>
    <w:rsid w:val="00BE20D1"/>
    <w:rsid w:val="00BE5DBE"/>
    <w:rsid w:val="00BE786A"/>
    <w:rsid w:val="00BF6ACC"/>
    <w:rsid w:val="00C0312F"/>
    <w:rsid w:val="00C04C1E"/>
    <w:rsid w:val="00C0617E"/>
    <w:rsid w:val="00C06398"/>
    <w:rsid w:val="00C178B0"/>
    <w:rsid w:val="00C24101"/>
    <w:rsid w:val="00C2637B"/>
    <w:rsid w:val="00C26AB7"/>
    <w:rsid w:val="00C30860"/>
    <w:rsid w:val="00C35516"/>
    <w:rsid w:val="00C36F82"/>
    <w:rsid w:val="00C46265"/>
    <w:rsid w:val="00C47163"/>
    <w:rsid w:val="00C50202"/>
    <w:rsid w:val="00C61C6B"/>
    <w:rsid w:val="00C63C6A"/>
    <w:rsid w:val="00C722AA"/>
    <w:rsid w:val="00C76A46"/>
    <w:rsid w:val="00C77846"/>
    <w:rsid w:val="00C77FBB"/>
    <w:rsid w:val="00C90AB1"/>
    <w:rsid w:val="00C91E82"/>
    <w:rsid w:val="00C92695"/>
    <w:rsid w:val="00C93B8D"/>
    <w:rsid w:val="00C94D28"/>
    <w:rsid w:val="00CA12D0"/>
    <w:rsid w:val="00CA7C49"/>
    <w:rsid w:val="00CB21E8"/>
    <w:rsid w:val="00CB36C0"/>
    <w:rsid w:val="00CB70FD"/>
    <w:rsid w:val="00CC288E"/>
    <w:rsid w:val="00CD0AD1"/>
    <w:rsid w:val="00CD0B05"/>
    <w:rsid w:val="00CE02F1"/>
    <w:rsid w:val="00CE0E1F"/>
    <w:rsid w:val="00CE1261"/>
    <w:rsid w:val="00CF31B8"/>
    <w:rsid w:val="00CF3EEE"/>
    <w:rsid w:val="00D02A55"/>
    <w:rsid w:val="00D02D1A"/>
    <w:rsid w:val="00D044C3"/>
    <w:rsid w:val="00D055C6"/>
    <w:rsid w:val="00D07E04"/>
    <w:rsid w:val="00D1028F"/>
    <w:rsid w:val="00D10E0A"/>
    <w:rsid w:val="00D11285"/>
    <w:rsid w:val="00D14068"/>
    <w:rsid w:val="00D16900"/>
    <w:rsid w:val="00D17F19"/>
    <w:rsid w:val="00D31685"/>
    <w:rsid w:val="00D3322B"/>
    <w:rsid w:val="00D35C94"/>
    <w:rsid w:val="00D4478C"/>
    <w:rsid w:val="00D464AE"/>
    <w:rsid w:val="00D50663"/>
    <w:rsid w:val="00D536B7"/>
    <w:rsid w:val="00D5671D"/>
    <w:rsid w:val="00D56A66"/>
    <w:rsid w:val="00D62345"/>
    <w:rsid w:val="00D638F9"/>
    <w:rsid w:val="00D65DEE"/>
    <w:rsid w:val="00D672DB"/>
    <w:rsid w:val="00D71C17"/>
    <w:rsid w:val="00D73274"/>
    <w:rsid w:val="00D752E4"/>
    <w:rsid w:val="00D75F1F"/>
    <w:rsid w:val="00D82326"/>
    <w:rsid w:val="00D83C2C"/>
    <w:rsid w:val="00D854DA"/>
    <w:rsid w:val="00D90244"/>
    <w:rsid w:val="00D9085E"/>
    <w:rsid w:val="00D9316D"/>
    <w:rsid w:val="00D94864"/>
    <w:rsid w:val="00DA24EC"/>
    <w:rsid w:val="00DA59D5"/>
    <w:rsid w:val="00DB01D5"/>
    <w:rsid w:val="00DB5F04"/>
    <w:rsid w:val="00DC1482"/>
    <w:rsid w:val="00DC1BC6"/>
    <w:rsid w:val="00DC1EFF"/>
    <w:rsid w:val="00DC2DD3"/>
    <w:rsid w:val="00DC48CC"/>
    <w:rsid w:val="00DC57B5"/>
    <w:rsid w:val="00DC5B9F"/>
    <w:rsid w:val="00DC79E3"/>
    <w:rsid w:val="00DD26D5"/>
    <w:rsid w:val="00DD51B5"/>
    <w:rsid w:val="00DD553A"/>
    <w:rsid w:val="00DD6848"/>
    <w:rsid w:val="00DE4A8B"/>
    <w:rsid w:val="00DE6039"/>
    <w:rsid w:val="00DE78C5"/>
    <w:rsid w:val="00DE7EBE"/>
    <w:rsid w:val="00DF698F"/>
    <w:rsid w:val="00E02B27"/>
    <w:rsid w:val="00E02E43"/>
    <w:rsid w:val="00E04239"/>
    <w:rsid w:val="00E11B47"/>
    <w:rsid w:val="00E17C35"/>
    <w:rsid w:val="00E2442F"/>
    <w:rsid w:val="00E25BD3"/>
    <w:rsid w:val="00E273D1"/>
    <w:rsid w:val="00E32F90"/>
    <w:rsid w:val="00E374B3"/>
    <w:rsid w:val="00E429EA"/>
    <w:rsid w:val="00E4399C"/>
    <w:rsid w:val="00E47085"/>
    <w:rsid w:val="00E51FE4"/>
    <w:rsid w:val="00E526B4"/>
    <w:rsid w:val="00E553C3"/>
    <w:rsid w:val="00E64F9B"/>
    <w:rsid w:val="00E72AF2"/>
    <w:rsid w:val="00E72D2C"/>
    <w:rsid w:val="00E73D23"/>
    <w:rsid w:val="00E74F28"/>
    <w:rsid w:val="00E76361"/>
    <w:rsid w:val="00E76DAE"/>
    <w:rsid w:val="00E77BAD"/>
    <w:rsid w:val="00E82167"/>
    <w:rsid w:val="00E86B1C"/>
    <w:rsid w:val="00E875A4"/>
    <w:rsid w:val="00E90E7D"/>
    <w:rsid w:val="00E94E4B"/>
    <w:rsid w:val="00E95FE5"/>
    <w:rsid w:val="00E96308"/>
    <w:rsid w:val="00EA28A1"/>
    <w:rsid w:val="00EB6C94"/>
    <w:rsid w:val="00EC1376"/>
    <w:rsid w:val="00EC1D04"/>
    <w:rsid w:val="00EC66E9"/>
    <w:rsid w:val="00ED09D6"/>
    <w:rsid w:val="00ED601A"/>
    <w:rsid w:val="00EE0206"/>
    <w:rsid w:val="00EE14CA"/>
    <w:rsid w:val="00EE2E4E"/>
    <w:rsid w:val="00EF0579"/>
    <w:rsid w:val="00F0127F"/>
    <w:rsid w:val="00F12F7D"/>
    <w:rsid w:val="00F206AD"/>
    <w:rsid w:val="00F25A26"/>
    <w:rsid w:val="00F344FE"/>
    <w:rsid w:val="00F37652"/>
    <w:rsid w:val="00F40305"/>
    <w:rsid w:val="00F406CA"/>
    <w:rsid w:val="00F450D4"/>
    <w:rsid w:val="00F56696"/>
    <w:rsid w:val="00F615FC"/>
    <w:rsid w:val="00F6333E"/>
    <w:rsid w:val="00F7341D"/>
    <w:rsid w:val="00F767B0"/>
    <w:rsid w:val="00F86A85"/>
    <w:rsid w:val="00F9400F"/>
    <w:rsid w:val="00F95DB1"/>
    <w:rsid w:val="00F97C5B"/>
    <w:rsid w:val="00FB39BC"/>
    <w:rsid w:val="00FC0B88"/>
    <w:rsid w:val="00FC2978"/>
    <w:rsid w:val="00FC3AC3"/>
    <w:rsid w:val="00FC4474"/>
    <w:rsid w:val="00FC49AF"/>
    <w:rsid w:val="00FD4813"/>
    <w:rsid w:val="00FD7DBE"/>
    <w:rsid w:val="00FE1701"/>
    <w:rsid w:val="00FE258A"/>
    <w:rsid w:val="00FE51D7"/>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383B"/>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1535</Words>
  <Characters>8751</Characters>
  <Application>Microsoft Office Word</Application>
  <DocSecurity>0</DocSecurity>
  <Lines>72</Lines>
  <Paragraphs>20</Paragraphs>
  <ScaleCrop>false</ScaleCrop>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2</cp:revision>
  <dcterms:created xsi:type="dcterms:W3CDTF">2025-03-28T03:13:00Z</dcterms:created>
  <dcterms:modified xsi:type="dcterms:W3CDTF">2025-03-28T03:13:00Z</dcterms:modified>
</cp:coreProperties>
</file>